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0DF4" w14:textId="77777777" w:rsidR="00C10319" w:rsidRPr="00C84084" w:rsidRDefault="00C10319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4B44FED7" w14:textId="77777777" w:rsidR="00C10319" w:rsidRPr="00C84084" w:rsidRDefault="00C10319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84F74AA" w14:textId="0EE8B9C6" w:rsidR="00333C6D" w:rsidRPr="00C84084" w:rsidRDefault="00333C6D" w:rsidP="00333C6D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  <w:lang w:eastAsia="en-US"/>
        </w:rPr>
      </w:pPr>
      <w:r w:rsidRPr="00C84084">
        <w:rPr>
          <w:rFonts w:ascii="Arial" w:eastAsia="Calibri" w:hAnsi="Arial" w:cs="Arial"/>
          <w:sz w:val="24"/>
          <w:szCs w:val="24"/>
          <w:lang w:val="tt" w:eastAsia="en-US"/>
        </w:rPr>
        <w:t>ПОСТАНОВЛЕНИЕ</w:t>
      </w:r>
      <w:r>
        <w:rPr>
          <w:rFonts w:ascii="Arial" w:eastAsia="Calibri" w:hAnsi="Arial" w:cs="Arial"/>
          <w:sz w:val="24"/>
          <w:szCs w:val="24"/>
          <w:lang w:val="tt" w:eastAsia="en-US"/>
        </w:rPr>
        <w:t xml:space="preserve">                                                                        </w:t>
      </w:r>
      <w:r w:rsidRPr="00C84084">
        <w:rPr>
          <w:rFonts w:ascii="Arial" w:eastAsia="Calibri" w:hAnsi="Arial" w:cs="Arial"/>
          <w:sz w:val="24"/>
          <w:szCs w:val="24"/>
          <w:lang w:val="tt" w:eastAsia="en-US"/>
        </w:rPr>
        <w:t xml:space="preserve">КАРАР  </w:t>
      </w:r>
    </w:p>
    <w:p w14:paraId="30F15699" w14:textId="1A190477" w:rsidR="00C10319" w:rsidRPr="00C84084" w:rsidRDefault="00333C6D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84084">
        <w:rPr>
          <w:rFonts w:ascii="Arial" w:eastAsia="Calibri" w:hAnsi="Arial" w:cs="Arial"/>
          <w:sz w:val="24"/>
          <w:szCs w:val="24"/>
          <w:lang w:val="tt" w:eastAsia="en-US"/>
        </w:rPr>
        <w:t xml:space="preserve">               </w:t>
      </w:r>
    </w:p>
    <w:p w14:paraId="3593F2EA" w14:textId="77777777" w:rsidR="00C10319" w:rsidRPr="00C84084" w:rsidRDefault="00C10319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7DAD1DA" w14:textId="77777777" w:rsidR="00C10319" w:rsidRPr="00C84084" w:rsidRDefault="00C10319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50071465" w14:textId="77777777" w:rsidR="00333C6D" w:rsidRPr="00C84084" w:rsidRDefault="00333C6D" w:rsidP="00333C6D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84084">
        <w:rPr>
          <w:rFonts w:ascii="Arial" w:eastAsia="Calibri" w:hAnsi="Arial" w:cs="Arial"/>
          <w:sz w:val="24"/>
          <w:szCs w:val="24"/>
          <w:lang w:val="tt" w:eastAsia="en-US"/>
        </w:rPr>
        <w:t xml:space="preserve">                 </w:t>
      </w:r>
      <w:r w:rsidRPr="00C84084">
        <w:rPr>
          <w:rFonts w:ascii="Arial" w:eastAsia="Calibri" w:hAnsi="Arial" w:cs="Arial"/>
          <w:sz w:val="24"/>
          <w:szCs w:val="24"/>
          <w:lang w:val="tt" w:eastAsia="en-US"/>
        </w:rPr>
        <w:t>2025 елның "19" декабре</w:t>
      </w:r>
      <w:r>
        <w:rPr>
          <w:rFonts w:ascii="Arial" w:eastAsia="Calibri" w:hAnsi="Arial" w:cs="Arial"/>
          <w:sz w:val="24"/>
          <w:szCs w:val="24"/>
          <w:lang w:val="tt" w:eastAsia="en-US"/>
        </w:rPr>
        <w:t xml:space="preserve">                                                   </w:t>
      </w:r>
      <w:r w:rsidRPr="00C84084">
        <w:rPr>
          <w:rFonts w:ascii="Arial" w:eastAsia="Calibri" w:hAnsi="Arial" w:cs="Arial"/>
          <w:sz w:val="24"/>
          <w:szCs w:val="24"/>
          <w:lang w:val="tt" w:eastAsia="en-US"/>
        </w:rPr>
        <w:t>№ 92</w:t>
      </w:r>
    </w:p>
    <w:p w14:paraId="70B15FAD" w14:textId="3AA65104" w:rsidR="00C10319" w:rsidRPr="00C84084" w:rsidRDefault="00C10319" w:rsidP="007A505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09247DE" w14:textId="77777777" w:rsidR="00095387" w:rsidRPr="00C84084" w:rsidRDefault="00095387" w:rsidP="00C10319">
      <w:pPr>
        <w:pStyle w:val="Default"/>
        <w:ind w:right="5102"/>
        <w:jc w:val="both"/>
        <w:rPr>
          <w:rFonts w:ascii="Arial" w:hAnsi="Arial" w:cs="Arial"/>
        </w:rPr>
      </w:pPr>
    </w:p>
    <w:p w14:paraId="0E11ECA7" w14:textId="77777777" w:rsidR="00095387" w:rsidRPr="00C84084" w:rsidRDefault="00095387" w:rsidP="00C10319">
      <w:pPr>
        <w:pStyle w:val="Default"/>
        <w:ind w:right="5102"/>
        <w:jc w:val="both"/>
        <w:rPr>
          <w:rFonts w:ascii="Arial" w:hAnsi="Arial" w:cs="Arial"/>
        </w:rPr>
      </w:pPr>
    </w:p>
    <w:p w14:paraId="6F6E9B8E" w14:textId="77777777" w:rsidR="00095387" w:rsidRPr="00C84084" w:rsidRDefault="00095387" w:rsidP="00C10319">
      <w:pPr>
        <w:pStyle w:val="Default"/>
        <w:ind w:right="5102"/>
        <w:jc w:val="both"/>
        <w:rPr>
          <w:rFonts w:ascii="Arial" w:hAnsi="Arial" w:cs="Arial"/>
        </w:rPr>
      </w:pPr>
    </w:p>
    <w:p w14:paraId="30E27412" w14:textId="60B0886D" w:rsidR="00753465" w:rsidRPr="00C84084" w:rsidRDefault="00333C6D" w:rsidP="00C10319">
      <w:pPr>
        <w:pStyle w:val="Default"/>
        <w:ind w:right="5102"/>
        <w:jc w:val="both"/>
        <w:rPr>
          <w:rFonts w:ascii="Arial" w:hAnsi="Arial" w:cs="Arial"/>
        </w:rPr>
      </w:pPr>
      <w:r w:rsidRPr="00C84084">
        <w:rPr>
          <w:rFonts w:ascii="Arial" w:hAnsi="Arial" w:cs="Arial"/>
          <w:lang w:val="tt"/>
        </w:rPr>
        <w:t xml:space="preserve">Татарстан Республикасы Лениногорск муниципаль районының Лениногорск шәһәре муниципаль берәмлегенең җирдән </w:t>
      </w:r>
      <w:r w:rsidRPr="00C84084">
        <w:rPr>
          <w:rFonts w:ascii="Arial" w:hAnsi="Arial" w:cs="Arial"/>
          <w:lang w:val="tt"/>
        </w:rPr>
        <w:t>файдалану һәм төзелеш кагыйдәләре проекты буенча гавами тыңлаулар үткәрү турында</w:t>
      </w:r>
    </w:p>
    <w:p w14:paraId="0B1C8F0F" w14:textId="77777777" w:rsidR="00BF34E2" w:rsidRPr="00C84084" w:rsidRDefault="00BF34E2" w:rsidP="00BF34E2">
      <w:pPr>
        <w:pStyle w:val="Default"/>
        <w:jc w:val="center"/>
        <w:rPr>
          <w:rFonts w:ascii="Arial" w:hAnsi="Arial" w:cs="Arial"/>
        </w:rPr>
      </w:pPr>
    </w:p>
    <w:p w14:paraId="5AA1BAA9" w14:textId="29A72C7F" w:rsidR="00BF34E2" w:rsidRPr="00C84084" w:rsidRDefault="00333C6D" w:rsidP="00C103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>Татарстан Республикасы Лениногорск муниципаль районы Лениногорск шәһәре муниципаль берәмлегенең муниципаль берәмлеге халкының муниципаль хокукый актлар проектлары буенча фике</w:t>
      </w:r>
      <w:r w:rsidRPr="00C84084">
        <w:rPr>
          <w:rFonts w:ascii="Arial" w:hAnsi="Arial" w:cs="Arial"/>
          <w:sz w:val="24"/>
          <w:szCs w:val="24"/>
          <w:lang w:val="tt"/>
        </w:rPr>
        <w:t>р алышуда катнашу һәм «Россия Федерациясендә җирле үзидарәне оештыруның гомуми принциплары турында» 2025 елның 25 мартындагы 33-ФЗ номерлы Федераль законның 47 статьясына, Россия Федерациясе Шәһәр төзелеше кодексының 31-33 статьяларына таянып, Татарстан Ре</w:t>
      </w:r>
      <w:r w:rsidRPr="00C84084">
        <w:rPr>
          <w:rFonts w:ascii="Arial" w:hAnsi="Arial" w:cs="Arial"/>
          <w:sz w:val="24"/>
          <w:szCs w:val="24"/>
          <w:lang w:val="tt"/>
        </w:rPr>
        <w:t>спубликасы Лениногорск муниципаль районы Уставының 19 статьясына нигезендә, КАРАР БИРӘМ:</w:t>
      </w:r>
    </w:p>
    <w:p w14:paraId="0982BCB1" w14:textId="026133C6" w:rsidR="00BF34E2" w:rsidRPr="00C84084" w:rsidRDefault="00333C6D" w:rsidP="00C103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>1.Татарстан Республикасы Лениногорск муниципаль районының Лениногорск шәһәре муниципаль берәмлегендә җирдән файдалану һәм төзелеш кагыйдәләре проекты буенча гавами тың</w:t>
      </w:r>
      <w:r w:rsidRPr="00C84084">
        <w:rPr>
          <w:rFonts w:ascii="Arial" w:hAnsi="Arial" w:cs="Arial"/>
          <w:sz w:val="24"/>
          <w:szCs w:val="24"/>
          <w:lang w:val="tt"/>
        </w:rPr>
        <w:t xml:space="preserve">лауларны 2026 елның 16 гыйнварында 16.00 сәгатькә билгеләргә. </w:t>
      </w:r>
    </w:p>
    <w:p w14:paraId="29AF400F" w14:textId="7D1BEADD" w:rsidR="00BF34E2" w:rsidRPr="00C84084" w:rsidRDefault="00333C6D" w:rsidP="00C103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 xml:space="preserve">2. Җирле үзидарә турындагы, шәһәр төзелеше эшчәнлеге турындагы законнар нигезендә гавами тыңлаулар оештыруны һәм уздыруны тәэмин итәргә. </w:t>
      </w:r>
    </w:p>
    <w:p w14:paraId="53452110" w14:textId="2CEA0937" w:rsidR="00FC48DD" w:rsidRPr="00C84084" w:rsidRDefault="00333C6D" w:rsidP="00C103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>3.Гавами тыңлаулар үткәрү 2026 елның 19 гыйнварыннан да</w:t>
      </w:r>
      <w:r w:rsidRPr="00C84084">
        <w:rPr>
          <w:rFonts w:ascii="Arial" w:hAnsi="Arial" w:cs="Arial"/>
          <w:sz w:val="24"/>
          <w:szCs w:val="24"/>
          <w:lang w:val="tt"/>
        </w:rPr>
        <w:t xml:space="preserve"> соңга калмыйча тәмамланырга тиешлеген билгеләргә.</w:t>
      </w:r>
    </w:p>
    <w:p w14:paraId="068B66F1" w14:textId="7167253A" w:rsidR="00BF34E2" w:rsidRPr="00C84084" w:rsidRDefault="00333C6D" w:rsidP="00C103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>4.Әлеге карарны Татарстан Республикасының хокукый мәгълүматның рәсми порталында түбәндәге веб-адрес буенча: http://pravo.tatarstan.ru бастырып чыгарырга һәм Татарстан Республикасы Лениногорск муниципаль ра</w:t>
      </w:r>
      <w:r w:rsidRPr="00C84084">
        <w:rPr>
          <w:rFonts w:ascii="Arial" w:hAnsi="Arial" w:cs="Arial"/>
          <w:sz w:val="24"/>
          <w:szCs w:val="24"/>
          <w:lang w:val="tt"/>
        </w:rPr>
        <w:t>йонының мәгълүмат-телекоммуникация челтәрендәге рәсми сайтында түбәндәге веб-адрес буенча: https://leninogorsk.tatarstan.ru урнаштырырга.</w:t>
      </w:r>
      <w:hyperlink r:id="rId4" w:history="1">
        <w:r>
          <w:rPr>
            <w:rStyle w:val="a5"/>
          </w:rPr>
          <w:t>http://pravo.tatarstan.ru</w:t>
        </w:r>
      </w:hyperlink>
    </w:p>
    <w:p w14:paraId="2CF8ECF7" w14:textId="3F0FE62A" w:rsidR="00BF34E2" w:rsidRPr="00C84084" w:rsidRDefault="00333C6D" w:rsidP="00C103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>5. Әлеге карарның үтәлешен контрольдә тотуны үз җав</w:t>
      </w:r>
      <w:r w:rsidRPr="00C84084">
        <w:rPr>
          <w:rFonts w:ascii="Arial" w:hAnsi="Arial" w:cs="Arial"/>
          <w:sz w:val="24"/>
          <w:szCs w:val="24"/>
          <w:lang w:val="tt"/>
        </w:rPr>
        <w:t>аплыгымда калдырам.</w:t>
      </w:r>
    </w:p>
    <w:p w14:paraId="097B6F9B" w14:textId="01528E40" w:rsidR="00A415D4" w:rsidRPr="00C84084" w:rsidRDefault="00A415D4" w:rsidP="00A415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90A948B" w14:textId="77777777" w:rsidR="00095387" w:rsidRPr="00C84084" w:rsidRDefault="00095387" w:rsidP="000953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7C02D97" w14:textId="0B3F5E1F" w:rsidR="0036772C" w:rsidRPr="00C84084" w:rsidRDefault="00333C6D" w:rsidP="000953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>М.Н. Гирфанов</w:t>
      </w:r>
    </w:p>
    <w:p w14:paraId="75062979" w14:textId="305DCBD0" w:rsidR="00095387" w:rsidRPr="00C84084" w:rsidRDefault="00095387" w:rsidP="000953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960BBCA" w14:textId="2F10E3F7" w:rsidR="00095387" w:rsidRPr="00C84084" w:rsidRDefault="00095387" w:rsidP="000953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6063B52" w14:textId="281E824C" w:rsidR="00095387" w:rsidRPr="00C84084" w:rsidRDefault="00095387" w:rsidP="000953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79585B" w14:textId="77777777" w:rsidR="00095387" w:rsidRPr="00C84084" w:rsidRDefault="00095387" w:rsidP="000953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2177887" w14:textId="77777777" w:rsidR="00095387" w:rsidRPr="00C84084" w:rsidRDefault="00333C6D" w:rsidP="00095387">
      <w:pPr>
        <w:spacing w:after="0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>Глухова О.С.</w:t>
      </w:r>
    </w:p>
    <w:p w14:paraId="79779BCC" w14:textId="77777777" w:rsidR="00095387" w:rsidRPr="00C84084" w:rsidRDefault="00333C6D" w:rsidP="00095387">
      <w:pPr>
        <w:spacing w:after="0"/>
        <w:rPr>
          <w:rFonts w:ascii="Arial" w:hAnsi="Arial" w:cs="Arial"/>
          <w:sz w:val="24"/>
          <w:szCs w:val="24"/>
        </w:rPr>
      </w:pPr>
      <w:r w:rsidRPr="00C84084">
        <w:rPr>
          <w:rFonts w:ascii="Arial" w:hAnsi="Arial" w:cs="Arial"/>
          <w:sz w:val="24"/>
          <w:szCs w:val="24"/>
          <w:lang w:val="tt"/>
        </w:rPr>
        <w:t>5-28-28</w:t>
      </w:r>
    </w:p>
    <w:p w14:paraId="1858CF5A" w14:textId="77777777" w:rsidR="00095387" w:rsidRPr="00095387" w:rsidRDefault="00095387" w:rsidP="00095387">
      <w:pPr>
        <w:spacing w:after="0" w:line="240" w:lineRule="auto"/>
        <w:jc w:val="right"/>
        <w:rPr>
          <w:sz w:val="28"/>
          <w:szCs w:val="28"/>
        </w:rPr>
      </w:pPr>
    </w:p>
    <w:sectPr w:rsidR="00095387" w:rsidRPr="00095387" w:rsidSect="00C1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E2"/>
    <w:rsid w:val="00095387"/>
    <w:rsid w:val="00264E33"/>
    <w:rsid w:val="00286F0B"/>
    <w:rsid w:val="00293694"/>
    <w:rsid w:val="00333C6D"/>
    <w:rsid w:val="00340D2C"/>
    <w:rsid w:val="0036772C"/>
    <w:rsid w:val="004F7BF6"/>
    <w:rsid w:val="00502CC8"/>
    <w:rsid w:val="00507B73"/>
    <w:rsid w:val="005335DC"/>
    <w:rsid w:val="005D256C"/>
    <w:rsid w:val="0061372D"/>
    <w:rsid w:val="006D7ECD"/>
    <w:rsid w:val="007334B1"/>
    <w:rsid w:val="00753465"/>
    <w:rsid w:val="007A5055"/>
    <w:rsid w:val="00814CDB"/>
    <w:rsid w:val="008C6576"/>
    <w:rsid w:val="00905C59"/>
    <w:rsid w:val="00A415D4"/>
    <w:rsid w:val="00A51183"/>
    <w:rsid w:val="00A821A5"/>
    <w:rsid w:val="00AB4A03"/>
    <w:rsid w:val="00B03F28"/>
    <w:rsid w:val="00B24961"/>
    <w:rsid w:val="00BE3947"/>
    <w:rsid w:val="00BF34E2"/>
    <w:rsid w:val="00C10319"/>
    <w:rsid w:val="00C84084"/>
    <w:rsid w:val="00CB07A0"/>
    <w:rsid w:val="00CB75CA"/>
    <w:rsid w:val="00CF5BDE"/>
    <w:rsid w:val="00D3089F"/>
    <w:rsid w:val="00DB2E8A"/>
    <w:rsid w:val="00DF57D4"/>
    <w:rsid w:val="00E82B5B"/>
    <w:rsid w:val="00E93F6B"/>
    <w:rsid w:val="00EA3419"/>
    <w:rsid w:val="00F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5D43"/>
  <w15:chartTrackingRefBased/>
  <w15:docId w15:val="{560BC22B-FC8D-483D-8BC6-6F1F90A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4E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415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415D4"/>
    <w:rPr>
      <w:rFonts w:eastAsiaTheme="minorEastAsia"/>
      <w:color w:val="5A5A5A" w:themeColor="text1" w:themeTint="A5"/>
      <w:spacing w:val="15"/>
      <w:lang w:eastAsia="ru-RU"/>
    </w:rPr>
  </w:style>
  <w:style w:type="character" w:styleId="a5">
    <w:name w:val="Hyperlink"/>
    <w:basedOn w:val="a0"/>
    <w:uiPriority w:val="99"/>
    <w:unhideWhenUsed/>
    <w:rsid w:val="00286F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8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Азат Миннебаев</cp:lastModifiedBy>
  <cp:revision>2</cp:revision>
  <cp:lastPrinted>2025-12-22T09:14:00Z</cp:lastPrinted>
  <dcterms:created xsi:type="dcterms:W3CDTF">2026-01-01T14:58:00Z</dcterms:created>
  <dcterms:modified xsi:type="dcterms:W3CDTF">2026-01-01T14:58:00Z</dcterms:modified>
</cp:coreProperties>
</file>