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BEB2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623F6923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5B13F94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BE0DEC3" w14:textId="46408EA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</w:p>
    <w:p w14:paraId="2CCEE26A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7D0D4DA" w14:textId="77777777" w:rsidR="00253A8B" w:rsidRPr="002C474C" w:rsidRDefault="00253A8B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1826897" w14:textId="6C1AC2E2" w:rsidR="00253A8B" w:rsidRPr="0048532F" w:rsidRDefault="00253A8B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tt-RU" w:eastAsia="en-US"/>
        </w:rPr>
      </w:pPr>
      <w:r w:rsidRPr="002C474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</w:t>
      </w:r>
      <w:r w:rsidR="0048532F"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/>
        </w:rPr>
        <w:t>2025 елның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B77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</w:t>
      </w:r>
      <w:r w:rsidR="00FB77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2C47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532F"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/>
        </w:rPr>
        <w:t>гыйнвары</w:t>
      </w:r>
    </w:p>
    <w:p w14:paraId="1F7E713E" w14:textId="77777777" w:rsidR="00A052D1" w:rsidRPr="00543304" w:rsidRDefault="00A052D1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50CB0DD9" w14:textId="77777777" w:rsidR="00A052D1" w:rsidRDefault="00A052D1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043F0F3B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3887CBA7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77CAF391" w14:textId="77777777" w:rsidR="00253A8B" w:rsidRDefault="00253A8B" w:rsidP="00A052D1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572CEAD2" w14:textId="469F6D3B" w:rsidR="00253A8B" w:rsidRDefault="00FB77A1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Лениногорск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берәмлеге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Башкарма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комитетының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2024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елның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8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октябрендәге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1290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номерлы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гражданының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махсус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хәрби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операциядә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катнашу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максатларында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Кораллы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Көчләрендә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хәрби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хезмәт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узу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турында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контракт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төзүдә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иткән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затларга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өстәмә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социаль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чарасы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күрсәтү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тәртибен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раслау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proofErr w:type="gram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турында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карарына</w:t>
      </w:r>
      <w:proofErr w:type="spellEnd"/>
      <w:proofErr w:type="gram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үзгәрешләр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кертү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хакында</w:t>
      </w:r>
      <w:proofErr w:type="spellEnd"/>
    </w:p>
    <w:p w14:paraId="21084AED" w14:textId="77777777" w:rsidR="0048532F" w:rsidRDefault="0048532F" w:rsidP="00253A8B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</w:rPr>
      </w:pPr>
    </w:p>
    <w:p w14:paraId="24D610AF" w14:textId="51814036" w:rsidR="00253A8B" w:rsidRPr="0048532F" w:rsidRDefault="0048532F" w:rsidP="00253A8B">
      <w:pPr>
        <w:pStyle w:val="20"/>
        <w:shd w:val="clear" w:color="auto" w:fill="auto"/>
        <w:spacing w:after="0" w:line="240" w:lineRule="auto"/>
        <w:ind w:right="-1" w:firstLine="709"/>
        <w:rPr>
          <w:rFonts w:ascii="Times New Roman" w:hAnsi="Times New Roman" w:cs="Times New Roman"/>
          <w:w w:val="105"/>
          <w:sz w:val="28"/>
          <w:szCs w:val="28"/>
        </w:rPr>
      </w:pPr>
      <w:bookmarkStart w:id="0" w:name="_Hlk188283985"/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категорияләренә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, </w:t>
      </w:r>
      <w:r w:rsidR="00FB77A1">
        <w:rPr>
          <w:rFonts w:ascii="Times New Roman" w:hAnsi="Times New Roman" w:cs="Times New Roman"/>
          <w:sz w:val="28"/>
          <w:szCs w:val="28"/>
        </w:rPr>
        <w:t>«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Россия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B77A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131 - ФЗ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5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абзацы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,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районы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Уставы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, </w:t>
      </w:r>
      <w:r w:rsidR="00FB77A1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Лениногорск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районы</w:t>
      </w:r>
      <w:r w:rsidR="00FB77A1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комитеты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Pr="0048532F">
        <w:rPr>
          <w:rStyle w:val="ezkurwreuab5ozgtqnkl"/>
          <w:rFonts w:ascii="Times New Roman" w:hAnsi="Times New Roman" w:cs="Times New Roman"/>
          <w:sz w:val="28"/>
          <w:szCs w:val="28"/>
        </w:rPr>
        <w:t>КАРАР БИРӘ:</w:t>
      </w:r>
    </w:p>
    <w:bookmarkEnd w:id="0"/>
    <w:p w14:paraId="6B4FD349" w14:textId="3E04BF08" w:rsidR="00253A8B" w:rsidRDefault="00FB77A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Лениногорск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берәмлеге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Башкарма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комитетының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2024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елның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8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октябрендәге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1290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номерлы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гражданының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махсус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хәрби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операциядә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катнашу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максатларында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Кораллы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Көчләрендә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хәрби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хезмәт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узу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турында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контракт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төзүдә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иткән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затларга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өстәмә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социаль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чарасы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күрсәтү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тәртибен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раслау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proofErr w:type="gram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турында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карарына</w:t>
      </w:r>
      <w:proofErr w:type="spellEnd"/>
      <w:proofErr w:type="gramEnd"/>
      <w:r w:rsidR="0048532F">
        <w:rPr>
          <w:rFonts w:ascii="Times New Roman" w:hAnsi="Times New Roman" w:cs="Times New Roman"/>
          <w:sz w:val="28"/>
          <w:szCs w:val="28"/>
          <w:lang w:val="tt-RU" w:bidi="ru-RU"/>
        </w:rPr>
        <w:t xml:space="preserve"> түбәндәге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үзгәреш</w:t>
      </w:r>
      <w:proofErr w:type="spellEnd"/>
      <w:r w:rsidR="0048532F">
        <w:rPr>
          <w:rFonts w:ascii="Times New Roman" w:hAnsi="Times New Roman" w:cs="Times New Roman"/>
          <w:sz w:val="28"/>
          <w:szCs w:val="28"/>
          <w:lang w:val="tt-RU" w:bidi="ru-RU"/>
        </w:rPr>
        <w:t>не</w:t>
      </w:r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  <w:lang w:bidi="ru-RU"/>
        </w:rPr>
        <w:t>керт</w:t>
      </w:r>
      <w:proofErr w:type="spellEnd"/>
      <w:r w:rsidR="0048532F">
        <w:rPr>
          <w:rFonts w:ascii="Times New Roman" w:hAnsi="Times New Roman" w:cs="Times New Roman"/>
          <w:sz w:val="28"/>
          <w:szCs w:val="28"/>
          <w:lang w:val="tt-RU" w:bidi="ru-RU"/>
        </w:rPr>
        <w:t>ергә</w:t>
      </w:r>
      <w:r w:rsidR="00A052D1" w:rsidRPr="00A052D1">
        <w:rPr>
          <w:rFonts w:ascii="Times New Roman" w:hAnsi="Times New Roman" w:cs="Times New Roman"/>
          <w:sz w:val="28"/>
          <w:szCs w:val="28"/>
        </w:rPr>
        <w:t>:</w:t>
      </w:r>
    </w:p>
    <w:p w14:paraId="085494F3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left="709" w:right="-1" w:firstLine="0"/>
        <w:rPr>
          <w:rFonts w:ascii="Times New Roman" w:hAnsi="Times New Roman" w:cs="Times New Roman"/>
          <w:sz w:val="16"/>
          <w:szCs w:val="16"/>
        </w:rPr>
      </w:pPr>
    </w:p>
    <w:p w14:paraId="62001AD0" w14:textId="50475626" w:rsidR="00253A8B" w:rsidRDefault="0048532F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" w:name="_Hlk188284062"/>
      <w:r w:rsidRPr="0048532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="00FB77A1">
        <w:rPr>
          <w:rFonts w:ascii="Times New Roman" w:hAnsi="Times New Roman" w:cs="Times New Roman"/>
          <w:sz w:val="28"/>
          <w:szCs w:val="28"/>
        </w:rPr>
        <w:t>«</w:t>
      </w:r>
      <w:r w:rsidRPr="0048532F">
        <w:rPr>
          <w:rFonts w:ascii="Times New Roman" w:hAnsi="Times New Roman" w:cs="Times New Roman"/>
          <w:sz w:val="28"/>
          <w:szCs w:val="28"/>
        </w:rPr>
        <w:t xml:space="preserve">01.10.2024-31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="00273C4F">
        <w:rPr>
          <w:rFonts w:ascii="Times New Roman" w:hAnsi="Times New Roman" w:cs="Times New Roman"/>
          <w:sz w:val="28"/>
          <w:szCs w:val="28"/>
          <w:lang w:val="tt-RU"/>
        </w:rPr>
        <w:t>31.</w:t>
      </w:r>
      <w:r w:rsidRPr="0048532F">
        <w:rPr>
          <w:rFonts w:ascii="Times New Roman" w:hAnsi="Times New Roman" w:cs="Times New Roman"/>
          <w:sz w:val="28"/>
          <w:szCs w:val="28"/>
        </w:rPr>
        <w:t xml:space="preserve">12.2024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="00FB77A1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саннарын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="00FB77A1">
        <w:rPr>
          <w:rFonts w:ascii="Times New Roman" w:hAnsi="Times New Roman" w:cs="Times New Roman"/>
          <w:sz w:val="28"/>
          <w:szCs w:val="28"/>
        </w:rPr>
        <w:t>«</w:t>
      </w:r>
      <w:r w:rsidRPr="0048532F">
        <w:rPr>
          <w:rFonts w:ascii="Times New Roman" w:hAnsi="Times New Roman" w:cs="Times New Roman"/>
          <w:sz w:val="28"/>
          <w:szCs w:val="28"/>
        </w:rPr>
        <w:t xml:space="preserve">20.01.2025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30.06.2025 </w:t>
      </w:r>
      <w:proofErr w:type="spellStart"/>
      <w:proofErr w:type="gramStart"/>
      <w:r w:rsidRPr="0048532F">
        <w:rPr>
          <w:rFonts w:ascii="Times New Roman" w:hAnsi="Times New Roman" w:cs="Times New Roman"/>
          <w:sz w:val="28"/>
          <w:szCs w:val="28"/>
        </w:rPr>
        <w:t>гәкадәр</w:t>
      </w:r>
      <w:r w:rsidR="00FB77A1">
        <w:rPr>
          <w:rFonts w:ascii="Times New Roman" w:hAnsi="Times New Roman" w:cs="Times New Roman"/>
          <w:sz w:val="28"/>
          <w:szCs w:val="28"/>
        </w:rPr>
        <w:t>»</w:t>
      </w:r>
      <w:r w:rsidRPr="0048532F">
        <w:rPr>
          <w:rFonts w:ascii="Times New Roman" w:hAnsi="Times New Roman" w:cs="Times New Roman"/>
          <w:sz w:val="28"/>
          <w:szCs w:val="28"/>
        </w:rPr>
        <w:t>саннарына</w:t>
      </w:r>
      <w:proofErr w:type="spellEnd"/>
      <w:proofErr w:type="gram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16C0EDA" w14:textId="77777777" w:rsidR="0048532F" w:rsidRPr="00253A8B" w:rsidRDefault="0048532F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04ABA11E" w14:textId="0D7F2DEB" w:rsidR="00A052D1" w:rsidRDefault="00FB77A1" w:rsidP="00253A8B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532F" w:rsidRPr="0048532F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1290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гражданына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кораллы </w:t>
      </w:r>
      <w:proofErr w:type="spellStart"/>
      <w:proofErr w:type="gramStart"/>
      <w:r w:rsidR="0048532F" w:rsidRPr="0048532F">
        <w:rPr>
          <w:rFonts w:ascii="Times New Roman" w:hAnsi="Times New Roman" w:cs="Times New Roman"/>
          <w:sz w:val="28"/>
          <w:szCs w:val="28"/>
        </w:rPr>
        <w:t>Көчләрендә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proofErr w:type="gram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узу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операциядә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, контракт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төзүдә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күрсәткән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затларга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A052D1" w:rsidRPr="00A052D1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2BAC6AE9" w14:textId="77777777" w:rsidR="00253A8B" w:rsidRPr="00253A8B" w:rsidRDefault="00253A8B" w:rsidP="00253A8B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7FD1AB9C" w14:textId="6B429FAA" w:rsidR="00A052D1" w:rsidRPr="00A052D1" w:rsidRDefault="00A052D1" w:rsidP="0048532F">
      <w:pPr>
        <w:pStyle w:val="1"/>
        <w:spacing w:before="0"/>
        <w:jc w:val="both"/>
      </w:pPr>
      <w:r w:rsidRPr="00A052D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пунктта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77A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01.10.2024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дән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31.12.2024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гә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кадәр</w:t>
      </w:r>
      <w:proofErr w:type="spellEnd"/>
      <w:r w:rsidR="00FB77A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саннарын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77A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20.01.2025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дән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30.06.2025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гә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кадәр</w:t>
      </w:r>
      <w:r w:rsidR="00FB77A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саннарына</w:t>
      </w:r>
      <w:proofErr w:type="spellEnd"/>
      <w:proofErr w:type="gram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алмаштырырга</w:t>
      </w:r>
      <w:proofErr w:type="spellEnd"/>
      <w:r w:rsidR="0048532F" w:rsidRPr="004853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67EB2B" w14:textId="59B35980" w:rsidR="0048532F" w:rsidRDefault="00A052D1" w:rsidP="00253A8B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88284189"/>
      <w:r>
        <w:rPr>
          <w:rFonts w:ascii="Times New Roman" w:hAnsi="Times New Roman" w:cs="Times New Roman"/>
          <w:sz w:val="28"/>
          <w:szCs w:val="28"/>
        </w:rPr>
        <w:t>3.</w:t>
      </w:r>
      <w:r w:rsidR="0048532F" w:rsidRPr="0048532F"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(PRAVO.TATARSTAN.RU)</w:t>
      </w:r>
      <w:r w:rsidR="00FB77A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>.</w:t>
      </w:r>
    </w:p>
    <w:p w14:paraId="1D667741" w14:textId="4DB8A418" w:rsidR="0048532F" w:rsidRPr="0048532F" w:rsidRDefault="00A052D1" w:rsidP="0048532F">
      <w:pPr>
        <w:pStyle w:val="20"/>
        <w:tabs>
          <w:tab w:val="left" w:pos="993"/>
          <w:tab w:val="left" w:pos="104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8532F" w:rsidRPr="0048532F"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2F" w:rsidRPr="0048532F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48532F" w:rsidRPr="0048532F">
        <w:rPr>
          <w:rFonts w:ascii="Times New Roman" w:hAnsi="Times New Roman" w:cs="Times New Roman"/>
          <w:sz w:val="28"/>
          <w:szCs w:val="28"/>
        </w:rPr>
        <w:t>.</w:t>
      </w:r>
    </w:p>
    <w:p w14:paraId="3BA7AE90" w14:textId="09353A90" w:rsidR="00A052D1" w:rsidRDefault="0048532F" w:rsidP="0048532F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</w:pPr>
      <w:r w:rsidRPr="0048532F">
        <w:rPr>
          <w:rFonts w:ascii="Times New Roman" w:hAnsi="Times New Roman" w:cs="Times New Roman"/>
          <w:sz w:val="28"/>
          <w:szCs w:val="28"/>
        </w:rPr>
        <w:t xml:space="preserve">5.Әлеге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r w:rsidR="00FB77A1">
        <w:rPr>
          <w:rFonts w:ascii="Times New Roman" w:hAnsi="Times New Roman" w:cs="Times New Roman"/>
          <w:sz w:val="28"/>
          <w:szCs w:val="28"/>
        </w:rPr>
        <w:t>«</w:t>
      </w:r>
      <w:r w:rsidRPr="0048532F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532F">
        <w:rPr>
          <w:rFonts w:ascii="Times New Roman" w:hAnsi="Times New Roman" w:cs="Times New Roman"/>
          <w:sz w:val="28"/>
          <w:szCs w:val="28"/>
        </w:rPr>
        <w:t>районы</w:t>
      </w:r>
      <w:r w:rsidR="00FB77A1">
        <w:rPr>
          <w:rFonts w:ascii="Times New Roman" w:hAnsi="Times New Roman" w:cs="Times New Roman"/>
          <w:sz w:val="28"/>
          <w:szCs w:val="28"/>
        </w:rPr>
        <w:t>»</w:t>
      </w:r>
      <w:r w:rsidRPr="0048532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32F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48532F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587EF0B" w14:textId="6B53F5BD" w:rsidR="00A052D1" w:rsidRDefault="00A052D1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340514DF" w14:textId="729239CA" w:rsidR="00253A8B" w:rsidRPr="00EF46F3" w:rsidRDefault="0048532F" w:rsidP="006F2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Җитәкче</w:t>
      </w:r>
      <w:r w:rsidR="00253A8B"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М.Н. Гирфанов</w:t>
      </w:r>
    </w:p>
    <w:p w14:paraId="41FE8960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5CE903F6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7249D745" w14:textId="77777777" w:rsidR="00253A8B" w:rsidRDefault="00253A8B" w:rsidP="0026495C">
      <w:pPr>
        <w:ind w:right="-1"/>
        <w:rPr>
          <w:rFonts w:ascii="Times New Roman" w:hAnsi="Times New Roman"/>
        </w:rPr>
      </w:pPr>
    </w:p>
    <w:p w14:paraId="15D46948" w14:textId="3DCF40FF" w:rsidR="00253A8B" w:rsidRPr="00AF61A5" w:rsidRDefault="0048532F" w:rsidP="0026495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Хә</w:t>
      </w:r>
      <w:proofErr w:type="spellStart"/>
      <w:r w:rsidR="00253A8B">
        <w:rPr>
          <w:rFonts w:ascii="Times New Roman" w:hAnsi="Times New Roman"/>
        </w:rPr>
        <w:t>йбрахманов</w:t>
      </w:r>
      <w:proofErr w:type="spellEnd"/>
      <w:r w:rsidR="00253A8B">
        <w:rPr>
          <w:rFonts w:ascii="Times New Roman" w:hAnsi="Times New Roman"/>
        </w:rPr>
        <w:t xml:space="preserve"> И.Р.</w:t>
      </w:r>
    </w:p>
    <w:p w14:paraId="10D7A256" w14:textId="77777777" w:rsidR="00253A8B" w:rsidRPr="00AF61A5" w:rsidRDefault="00253A8B" w:rsidP="0026495C">
      <w:pPr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F074A93" w14:textId="77777777" w:rsidR="00253A8B" w:rsidRPr="0049677D" w:rsidRDefault="00253A8B" w:rsidP="00253A8B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4AEA3709" w14:textId="77777777" w:rsidR="00A052D1" w:rsidRDefault="00A052D1" w:rsidP="00253A8B">
      <w:pPr>
        <w:pStyle w:val="20"/>
        <w:shd w:val="clear" w:color="auto" w:fill="auto"/>
        <w:spacing w:after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4E3D66" w14:textId="77777777" w:rsidR="00301958" w:rsidRDefault="00301958"/>
    <w:sectPr w:rsidR="00301958" w:rsidSect="00253A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50A"/>
    <w:multiLevelType w:val="hybridMultilevel"/>
    <w:tmpl w:val="2A44D34A"/>
    <w:lvl w:ilvl="0" w:tplc="9E281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B4C29"/>
    <w:multiLevelType w:val="multilevel"/>
    <w:tmpl w:val="F4C858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D1"/>
    <w:rsid w:val="00083063"/>
    <w:rsid w:val="001C0B8F"/>
    <w:rsid w:val="00253A8B"/>
    <w:rsid w:val="00273C4F"/>
    <w:rsid w:val="002C474C"/>
    <w:rsid w:val="00301958"/>
    <w:rsid w:val="003A7440"/>
    <w:rsid w:val="0048532F"/>
    <w:rsid w:val="004D2E19"/>
    <w:rsid w:val="00734EC6"/>
    <w:rsid w:val="008F78FC"/>
    <w:rsid w:val="009C4353"/>
    <w:rsid w:val="00A052D1"/>
    <w:rsid w:val="00C36909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CE8D"/>
  <w15:chartTrackingRefBased/>
  <w15:docId w15:val="{F6B34CFE-C04F-436B-AC13-E8C0543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05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2D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2D1"/>
    <w:pPr>
      <w:shd w:val="clear" w:color="auto" w:fill="FFFFFF"/>
      <w:spacing w:after="540" w:line="274" w:lineRule="exact"/>
      <w:ind w:hanging="7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3">
    <w:name w:val="Subtitle"/>
    <w:basedOn w:val="a"/>
    <w:next w:val="a"/>
    <w:link w:val="a4"/>
    <w:uiPriority w:val="11"/>
    <w:qFormat/>
    <w:rsid w:val="00A052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A052D1"/>
    <w:rPr>
      <w:rFonts w:eastAsiaTheme="minorEastAsia"/>
      <w:color w:val="5A5A5A" w:themeColor="text1" w:themeTint="A5"/>
      <w:spacing w:val="15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05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ezkurwreuab5ozgtqnkl">
    <w:name w:val="ezkurwreuab5ozgtqnkl"/>
    <w:basedOn w:val="a0"/>
    <w:rsid w:val="0048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7</cp:revision>
  <cp:lastPrinted>2025-01-16T06:54:00Z</cp:lastPrinted>
  <dcterms:created xsi:type="dcterms:W3CDTF">2025-01-20T13:28:00Z</dcterms:created>
  <dcterms:modified xsi:type="dcterms:W3CDTF">2025-01-20T13:51:00Z</dcterms:modified>
</cp:coreProperties>
</file>