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257C" w14:textId="77777777" w:rsidR="0068715C" w:rsidRPr="00E56B48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5A1E7CCF" w14:textId="77777777" w:rsidR="00A54C0E" w:rsidRPr="00E56B48" w:rsidRDefault="00722BD6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6B48">
        <w:rPr>
          <w:rFonts w:eastAsia="Calibri"/>
          <w:szCs w:val="28"/>
          <w:lang w:val="tt" w:eastAsia="en-US"/>
        </w:rPr>
        <w:t>ПОСТАНОВЛЕНИЕ</w:t>
      </w:r>
    </w:p>
    <w:p w14:paraId="5EA6F1C8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59664AA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5A0B3E3" w14:textId="3E01C2B7" w:rsidR="00A54C0E" w:rsidRPr="00E56B48" w:rsidRDefault="00722BD6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6B48">
        <w:rPr>
          <w:rFonts w:eastAsia="Calibri"/>
          <w:szCs w:val="28"/>
          <w:lang w:val="tt" w:eastAsia="en-US"/>
        </w:rPr>
        <w:t>КАРАР              № 360</w:t>
      </w:r>
    </w:p>
    <w:p w14:paraId="7121D50B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9F6EF12" w14:textId="77777777" w:rsidR="00A54C0E" w:rsidRPr="00E56B48" w:rsidRDefault="00A54C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13E6AEB" w14:textId="0FF5AD61" w:rsidR="00A54C0E" w:rsidRPr="00E56B48" w:rsidRDefault="00722BD6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56B48">
        <w:rPr>
          <w:rFonts w:eastAsia="Calibri"/>
          <w:szCs w:val="28"/>
          <w:lang w:val="tt" w:eastAsia="en-US"/>
        </w:rPr>
        <w:t xml:space="preserve">                                                             2024 елның 13 феврале</w:t>
      </w:r>
    </w:p>
    <w:p w14:paraId="7C6F521C" w14:textId="77777777" w:rsidR="00AB7160" w:rsidRPr="00E56B48" w:rsidRDefault="00AB7160" w:rsidP="00DB4A15">
      <w:pPr>
        <w:rPr>
          <w:rFonts w:cs="Times New Roman"/>
          <w:b/>
          <w:szCs w:val="28"/>
        </w:rPr>
      </w:pPr>
    </w:p>
    <w:p w14:paraId="55ADFE06" w14:textId="6588CBCF" w:rsidR="00AB7160" w:rsidRPr="00E56B48" w:rsidRDefault="00AB7160" w:rsidP="00DB4A15">
      <w:pPr>
        <w:rPr>
          <w:rFonts w:cs="Times New Roman"/>
          <w:b/>
          <w:szCs w:val="28"/>
        </w:rPr>
      </w:pPr>
    </w:p>
    <w:p w14:paraId="4BFFB078" w14:textId="2B21D77E" w:rsidR="00A54C0E" w:rsidRDefault="00A54C0E" w:rsidP="00DB4A15">
      <w:pPr>
        <w:rPr>
          <w:rFonts w:cs="Times New Roman"/>
          <w:b/>
          <w:szCs w:val="28"/>
        </w:rPr>
      </w:pPr>
    </w:p>
    <w:p w14:paraId="4C54C5D4" w14:textId="6B3633AC" w:rsidR="00A54C0E" w:rsidRDefault="00A54C0E" w:rsidP="00DB4A15">
      <w:pPr>
        <w:rPr>
          <w:rFonts w:cs="Times New Roman"/>
          <w:b/>
          <w:szCs w:val="28"/>
        </w:rPr>
      </w:pPr>
    </w:p>
    <w:p w14:paraId="21571D17" w14:textId="77777777" w:rsidR="00A54C0E" w:rsidRDefault="00A54C0E" w:rsidP="00DB4A15">
      <w:pPr>
        <w:rPr>
          <w:rFonts w:cs="Times New Roman"/>
          <w:b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F55B48" w14:paraId="1D6FB131" w14:textId="77777777" w:rsidTr="00A54C0E">
        <w:tc>
          <w:tcPr>
            <w:tcW w:w="7054" w:type="dxa"/>
          </w:tcPr>
          <w:p w14:paraId="29B377D4" w14:textId="77777777" w:rsidR="00AB7160" w:rsidRDefault="00AB7160" w:rsidP="00931DBA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/>
                <w:szCs w:val="28"/>
              </w:rPr>
            </w:pPr>
          </w:p>
        </w:tc>
        <w:tc>
          <w:tcPr>
            <w:tcW w:w="2835" w:type="dxa"/>
          </w:tcPr>
          <w:p w14:paraId="6508CB64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56425720" w14:textId="3EAE0F90" w:rsidR="00931DBA" w:rsidRPr="00F438A5" w:rsidRDefault="00722BD6" w:rsidP="00931DBA">
      <w:pPr>
        <w:tabs>
          <w:tab w:val="left" w:pos="5670"/>
        </w:tabs>
        <w:ind w:right="176"/>
        <w:jc w:val="both"/>
        <w:outlineLvl w:val="3"/>
        <w:rPr>
          <w:rFonts w:cs="Times New Roman"/>
          <w:color w:val="000000"/>
          <w:szCs w:val="28"/>
        </w:rPr>
      </w:pPr>
      <w:r>
        <w:rPr>
          <w:rFonts w:cs="Times New Roman"/>
          <w:bCs/>
          <w:color w:val="000000"/>
          <w:szCs w:val="28"/>
          <w:lang w:val="tt"/>
        </w:rPr>
        <w:t>«</w:t>
      </w:r>
      <w:r w:rsidRPr="00F438A5">
        <w:rPr>
          <w:rFonts w:cs="Times New Roman"/>
          <w:bCs/>
          <w:color w:val="000000"/>
          <w:szCs w:val="28"/>
          <w:lang w:val="tt"/>
        </w:rPr>
        <w:t>2021-2025 елларга Лениногорск муниципаль районында физик культура һәм спортны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 программасын раслау турында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2020 елның 18 ноябрендәге 1349 номерлы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F438A5">
        <w:rPr>
          <w:rFonts w:cs="Times New Roman"/>
          <w:bCs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bCs/>
          <w:color w:val="000000"/>
          <w:szCs w:val="28"/>
          <w:lang w:val="tt"/>
        </w:rPr>
        <w:t xml:space="preserve">» 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муниципаль берәмлеге Башкарма комитеты карары белән расланган 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F438A5">
        <w:rPr>
          <w:rFonts w:cs="Times New Roman"/>
          <w:bCs/>
          <w:color w:val="000000"/>
          <w:szCs w:val="28"/>
          <w:lang w:val="tt"/>
        </w:rPr>
        <w:t>2021-20</w:t>
      </w:r>
      <w:r w:rsidRPr="00F438A5">
        <w:rPr>
          <w:rFonts w:cs="Times New Roman"/>
          <w:bCs/>
          <w:color w:val="000000"/>
          <w:szCs w:val="28"/>
          <w:lang w:val="tt"/>
        </w:rPr>
        <w:t>25 елларга Лениногорск муниципаль районында физик культура һәм спортны үстерү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 программасына (</w:t>
      </w:r>
      <w:r>
        <w:rPr>
          <w:rFonts w:cs="Times New Roman"/>
          <w:bCs/>
          <w:color w:val="000000"/>
          <w:szCs w:val="28"/>
          <w:lang w:val="tt"/>
        </w:rPr>
        <w:t>«</w:t>
      </w:r>
      <w:r w:rsidRPr="00F438A5">
        <w:rPr>
          <w:rFonts w:cs="Times New Roman"/>
          <w:bCs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bCs/>
          <w:color w:val="000000"/>
          <w:szCs w:val="28"/>
          <w:lang w:val="tt"/>
        </w:rPr>
        <w:t>»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 муниципаль берәмлеге Башкарма комитетының 12.03.2021 № 211, 10.06.2021 № 560, 07.12.2021 № 1136, 16.12.2021 № 1177, 30.12.2021 № 1</w:t>
      </w:r>
      <w:r w:rsidRPr="00F438A5">
        <w:rPr>
          <w:rFonts w:cs="Times New Roman"/>
          <w:bCs/>
          <w:color w:val="000000"/>
          <w:szCs w:val="28"/>
          <w:lang w:val="tt"/>
        </w:rPr>
        <w:t xml:space="preserve">270, 25.07.2022 №карарлары белән кертелгән үзгәрешләрне исәпкә алып)687, 21.02.2023 № 662, 02.06.2023 № 1477 )үзгәрешләр кертү турында </w:t>
      </w:r>
    </w:p>
    <w:p w14:paraId="2B03B62A" w14:textId="77777777" w:rsidR="00931DBA" w:rsidRDefault="00931DBA" w:rsidP="00A54C0E">
      <w:pPr>
        <w:ind w:firstLine="709"/>
        <w:jc w:val="both"/>
        <w:rPr>
          <w:rFonts w:cs="Times New Roman"/>
          <w:color w:val="000000"/>
          <w:szCs w:val="28"/>
        </w:rPr>
      </w:pPr>
    </w:p>
    <w:p w14:paraId="13DC7E00" w14:textId="77777777" w:rsidR="00931DBA" w:rsidRDefault="00931DBA" w:rsidP="00A54C0E">
      <w:pPr>
        <w:ind w:firstLine="709"/>
        <w:jc w:val="both"/>
        <w:rPr>
          <w:rFonts w:cs="Times New Roman"/>
          <w:color w:val="000000"/>
          <w:szCs w:val="28"/>
        </w:rPr>
      </w:pPr>
    </w:p>
    <w:p w14:paraId="10851DBF" w14:textId="1D107842" w:rsidR="006E4EA9" w:rsidRPr="00F438A5" w:rsidRDefault="00722BD6" w:rsidP="00A54C0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2024 елга, 2025 һәм 2026 еллар план чорына Татарстан Р</w:t>
      </w:r>
      <w:r w:rsidRPr="00F438A5">
        <w:rPr>
          <w:rFonts w:cs="Times New Roman"/>
          <w:color w:val="000000"/>
          <w:szCs w:val="28"/>
          <w:lang w:val="tt"/>
        </w:rPr>
        <w:t>еспубликасы Лениногорск муниципаль районы бюджеты турында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2023 елның 14 декабрендәге 69 номерлы карарын үтәү йөзеннән, </w:t>
      </w:r>
      <w:r>
        <w:rPr>
          <w:rFonts w:cs="Times New Roman"/>
          <w:color w:val="000000"/>
          <w:szCs w:val="28"/>
          <w:lang w:val="tt"/>
        </w:rPr>
        <w:t>«</w:t>
      </w:r>
      <w:r w:rsidRPr="00F438A5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F438A5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КАРАР БИРӘ:</w:t>
      </w:r>
    </w:p>
    <w:p w14:paraId="5DD2E946" w14:textId="567D3C06" w:rsidR="006E4EA9" w:rsidRPr="000E3E3B" w:rsidRDefault="00722BD6" w:rsidP="00A54C0E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 xml:space="preserve">1.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2021-2025 елларга Лениногорск муниципаль районынд</w:t>
      </w:r>
      <w:r w:rsidRPr="000E3E3B">
        <w:rPr>
          <w:rFonts w:cs="Times New Roman"/>
          <w:color w:val="000000"/>
          <w:szCs w:val="28"/>
          <w:lang w:val="tt"/>
        </w:rPr>
        <w:t>а физик культура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программасын раслау турында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 xml:space="preserve">2020 елның 18 ноябрендәге 1349 номерлы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муниципаль берәмлеге Башкарма комитеты карары белән расланган 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 xml:space="preserve">2021-2025 елларга Лениногорск муниципаль районында физик </w:t>
      </w:r>
      <w:r w:rsidRPr="000E3E3B">
        <w:rPr>
          <w:rFonts w:cs="Times New Roman"/>
          <w:color w:val="000000"/>
          <w:szCs w:val="28"/>
          <w:lang w:val="tt"/>
        </w:rPr>
        <w:t>культура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программасына (</w:t>
      </w:r>
      <w:r>
        <w:rPr>
          <w:rFonts w:cs="Times New Roman"/>
          <w:color w:val="000000"/>
          <w:szCs w:val="28"/>
          <w:lang w:val="tt"/>
        </w:rPr>
        <w:t>«</w:t>
      </w:r>
      <w:r w:rsidRPr="000E3E3B">
        <w:rPr>
          <w:rFonts w:cs="Times New Roman"/>
          <w:color w:val="000000"/>
          <w:szCs w:val="28"/>
          <w:lang w:val="tt"/>
        </w:rPr>
        <w:t>Лениногорск муниципаль районы</w:t>
      </w:r>
      <w:r>
        <w:rPr>
          <w:rFonts w:cs="Times New Roman"/>
          <w:color w:val="000000"/>
          <w:szCs w:val="28"/>
          <w:lang w:val="tt"/>
        </w:rPr>
        <w:t>»</w:t>
      </w:r>
      <w:r w:rsidRPr="000E3E3B"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12.03.2021 № 211, 10.06.2021 № 560, 07.12.2021 № 1136, 16.12.2021 № 1177, 30.12.2021 № 1270, 25.07.2022 №карарлары белән кертелгән үзгәреш</w:t>
      </w:r>
      <w:r w:rsidRPr="000E3E3B">
        <w:rPr>
          <w:rFonts w:cs="Times New Roman"/>
          <w:color w:val="000000"/>
          <w:szCs w:val="28"/>
          <w:lang w:val="tt"/>
        </w:rPr>
        <w:t>ләрне исәпкә алып)687, 21.02.2023 № 662, 02.06.2023 № 1477 ) түбәндәге үзгәрешләрне кертергә:</w:t>
      </w:r>
    </w:p>
    <w:p w14:paraId="1F8164A3" w14:textId="77777777" w:rsidR="00A54C0E" w:rsidRDefault="00722BD6" w:rsidP="00A54C0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>Программа паспортында:</w:t>
      </w:r>
    </w:p>
    <w:p w14:paraId="22D460D3" w14:textId="54A321BE" w:rsidR="000C54BF" w:rsidRPr="00A54C0E" w:rsidRDefault="00722BD6" w:rsidP="00A54C0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Программаны финанслау күләме, еллар һәм чыганаклар буенча бүленеп, «</w:t>
      </w:r>
      <w:r>
        <w:rPr>
          <w:rFonts w:cs="Times New Roman"/>
          <w:color w:val="000000"/>
          <w:szCs w:val="28"/>
          <w:lang w:val="tt"/>
        </w:rPr>
        <w:t xml:space="preserve"> бүлегендә түбәндәге редакциядә юлларны өстәргә «</w:t>
      </w:r>
      <w:r>
        <w:rPr>
          <w:rFonts w:cs="Times New Roman"/>
          <w:color w:val="000000"/>
          <w:szCs w:val="28"/>
          <w:lang w:val="tt"/>
        </w:rPr>
        <w:t xml:space="preserve">2024 елга </w:t>
      </w:r>
      <w:r>
        <w:rPr>
          <w:rFonts w:cs="Times New Roman"/>
          <w:color w:val="000000"/>
          <w:szCs w:val="28"/>
          <w:lang w:val="tt"/>
        </w:rPr>
        <w:t>республика бюджеты исәбеннән»</w:t>
      </w:r>
      <w:r>
        <w:rPr>
          <w:rFonts w:cs="Times New Roman"/>
          <w:color w:val="000000"/>
          <w:szCs w:val="28"/>
          <w:lang w:val="tt"/>
        </w:rPr>
        <w:t xml:space="preserve"> бүленгән:</w:t>
      </w:r>
    </w:p>
    <w:p w14:paraId="48934336" w14:textId="77777777" w:rsidR="000C54BF" w:rsidRPr="000E3E3B" w:rsidRDefault="00722BD6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lastRenderedPageBreak/>
        <w:t>Татарстан Республикасының спорт резервын әзерләүче Лениногорск муниципаль районы муниципаль физкультура спорт оешмаларын 370,74 мең сум тәэмин итү өчен спорт җиһазлары, экипировка һәм инвентарь сатып алуга;</w:t>
      </w:r>
    </w:p>
    <w:p w14:paraId="5486502C" w14:textId="77777777" w:rsidR="000C54BF" w:rsidRPr="000E3E3B" w:rsidRDefault="00722BD6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югары ква</w:t>
      </w:r>
      <w:r>
        <w:rPr>
          <w:rFonts w:cs="Times New Roman"/>
          <w:color w:val="000000"/>
          <w:szCs w:val="28"/>
          <w:lang w:val="tt"/>
        </w:rPr>
        <w:t>лификацияле спортчылар әзерләгән өчен тренер-укытучыларга, шулай ук спорт резервын әзерләүче Лениногорск муниципаль районы муниципаль физкультура спорт оешмаларында эшләүче 800,00 мең сум нәтиҗәләр өчен спортчылар һәм спортчыларга бүләкләү өчен;</w:t>
      </w:r>
    </w:p>
    <w:p w14:paraId="3FBE94DB" w14:textId="77777777" w:rsidR="000C54BF" w:rsidRDefault="00722BD6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  <w:lang w:val="tt"/>
        </w:rPr>
        <w:t>спорт әзер</w:t>
      </w:r>
      <w:r w:rsidRPr="000E3E3B">
        <w:rPr>
          <w:rFonts w:cs="Times New Roman"/>
          <w:color w:val="000000"/>
          <w:szCs w:val="28"/>
          <w:lang w:val="tt"/>
        </w:rPr>
        <w:t>легенең өстәмә белем бирү программаларын гамәлгә ашыручы Лениногорск муниципаль районы физкультура спорт оешмалары яшь белгечләренә акчалата түләүгә;</w:t>
      </w:r>
    </w:p>
    <w:p w14:paraId="5CB3ED87" w14:textId="1A7ACDB9" w:rsidR="00A54C0E" w:rsidRDefault="00722BD6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Татарстан Республикасы Лениногорск муниципаль районының «</w:t>
      </w:r>
      <w:r>
        <w:rPr>
          <w:rFonts w:cs="Times New Roman"/>
          <w:color w:val="000000"/>
          <w:szCs w:val="28"/>
          <w:lang w:val="tt"/>
        </w:rPr>
        <w:t>хоккей буенча «</w:t>
      </w:r>
      <w:r>
        <w:rPr>
          <w:rFonts w:cs="Times New Roman"/>
          <w:color w:val="000000"/>
          <w:szCs w:val="28"/>
          <w:lang w:val="tt"/>
        </w:rPr>
        <w:t>Нефтяник»</w:t>
      </w:r>
      <w:r>
        <w:rPr>
          <w:rFonts w:cs="Times New Roman"/>
          <w:color w:val="000000"/>
          <w:szCs w:val="28"/>
          <w:lang w:val="tt"/>
        </w:rPr>
        <w:t xml:space="preserve"> спорт мәктәбе»</w:t>
      </w:r>
      <w:r>
        <w:rPr>
          <w:rFonts w:cs="Times New Roman"/>
          <w:color w:val="000000"/>
          <w:szCs w:val="28"/>
          <w:lang w:val="tt"/>
        </w:rPr>
        <w:t xml:space="preserve"> </w:t>
      </w:r>
      <w:r>
        <w:rPr>
          <w:rFonts w:cs="Times New Roman"/>
          <w:color w:val="000000"/>
          <w:szCs w:val="28"/>
          <w:lang w:val="tt"/>
        </w:rPr>
        <w:t xml:space="preserve">өстәмә белем бирү муниципаль бюджет учреждениесенең спорт командаларын спорт әзерлеге һәм катнашуы буенча Татарстан Республикасы чемпионатында хоккей буенча Татарстан Республикасы чемпионатында һәм хоккей буенча Россия Федерациясе чемпионатында (А) 821,30 </w:t>
      </w:r>
      <w:r>
        <w:rPr>
          <w:rFonts w:cs="Times New Roman"/>
          <w:color w:val="000000"/>
          <w:szCs w:val="28"/>
          <w:lang w:val="tt"/>
        </w:rPr>
        <w:t>мең сум;»</w:t>
      </w:r>
      <w:r>
        <w:rPr>
          <w:rFonts w:cs="Times New Roman"/>
          <w:color w:val="000000"/>
          <w:szCs w:val="28"/>
          <w:lang w:val="tt"/>
        </w:rPr>
        <w:t>;</w:t>
      </w:r>
    </w:p>
    <w:p w14:paraId="6D8B52C5" w14:textId="041AC19B" w:rsidR="00F57423" w:rsidRPr="00A54C0E" w:rsidRDefault="00722BD6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Theme="minorEastAsia" w:cs="Times New Roman"/>
          <w:szCs w:val="28"/>
          <w:lang w:val="tt"/>
        </w:rPr>
        <w:t>«</w:t>
      </w:r>
      <w:r w:rsidR="006E4EA9" w:rsidRPr="00A54C0E">
        <w:rPr>
          <w:rFonts w:eastAsiaTheme="minorEastAsia" w:cs="Times New Roman"/>
          <w:szCs w:val="28"/>
          <w:lang w:val="tt"/>
        </w:rPr>
        <w:t>Программаны еллар һәм чыганаклар буенча бүлгәләп финанслау күләмнәре</w:t>
      </w:r>
      <w:r>
        <w:rPr>
          <w:rFonts w:eastAsiaTheme="minorEastAsia" w:cs="Times New Roman"/>
          <w:szCs w:val="28"/>
          <w:lang w:val="tt"/>
        </w:rPr>
        <w:t>»</w:t>
      </w:r>
      <w:r w:rsidR="006E4EA9" w:rsidRPr="00A54C0E">
        <w:rPr>
          <w:rFonts w:eastAsiaTheme="minorEastAsia" w:cs="Times New Roman"/>
          <w:szCs w:val="28"/>
          <w:lang w:val="tt"/>
        </w:rPr>
        <w:t xml:space="preserve"> бүлеген түбәндәге редакциядә бәян итәргә: </w:t>
      </w:r>
    </w:p>
    <w:p w14:paraId="14F3303A" w14:textId="46D8BC30" w:rsidR="006E4EA9" w:rsidRDefault="00722BD6" w:rsidP="00A54C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«</w:t>
      </w:r>
      <w:r>
        <w:rPr>
          <w:rFonts w:eastAsiaTheme="minorEastAsia" w:cs="Times New Roman"/>
          <w:szCs w:val="28"/>
          <w:lang w:val="tt"/>
        </w:rPr>
        <w:t>2021-2025 елларда Программаны финанслауның гомуми күләме Лениногорск муниципаль районы бюджеты акчалары исәбеннән булачак:</w:t>
      </w:r>
    </w:p>
    <w:p w14:paraId="508DE0D5" w14:textId="77777777" w:rsidR="00F57423" w:rsidRPr="00F57423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2021 ел</w:t>
      </w:r>
      <w:r>
        <w:rPr>
          <w:rFonts w:eastAsiaTheme="minorEastAsia" w:cs="Times New Roman"/>
          <w:szCs w:val="28"/>
          <w:lang w:val="tt"/>
        </w:rPr>
        <w:t>да - 111284,59 мең сум;</w:t>
      </w:r>
    </w:p>
    <w:p w14:paraId="6DF73B52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2022 елда - 129395,49 мең сум;</w:t>
      </w:r>
    </w:p>
    <w:p w14:paraId="40ABA0DD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2023 елда - 162080,04 мең сум;</w:t>
      </w:r>
    </w:p>
    <w:p w14:paraId="134723AB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2024 елда - 166422,70 мең сум;</w:t>
      </w:r>
    </w:p>
    <w:p w14:paraId="2B300162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2025 елда - 168664,40 мең сум;</w:t>
      </w:r>
    </w:p>
    <w:p w14:paraId="6BB1D129" w14:textId="77777777" w:rsidR="002F2A5F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2026 елда - 171172,30 мең сум.</w:t>
      </w:r>
    </w:p>
    <w:p w14:paraId="1FB1F374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Бюджеттан тыш акчалар хисабына:</w:t>
      </w:r>
    </w:p>
    <w:p w14:paraId="08D56FCD" w14:textId="77777777" w:rsidR="00F57423" w:rsidRPr="00F57423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2021 елда -  14582,76 мең сум;</w:t>
      </w:r>
    </w:p>
    <w:p w14:paraId="7F2EC9F6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2022 елда - 14</w:t>
      </w:r>
      <w:r>
        <w:rPr>
          <w:rFonts w:eastAsiaTheme="minorEastAsia" w:cs="Times New Roman"/>
          <w:szCs w:val="28"/>
          <w:lang w:val="tt"/>
        </w:rPr>
        <w:t>736,33 мең сум;</w:t>
      </w:r>
    </w:p>
    <w:p w14:paraId="4106CEF0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2023 елда - 16361,03 мең сум;</w:t>
      </w:r>
    </w:p>
    <w:p w14:paraId="3D3DAEAB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2024 елда - 12363,0 мең сум;</w:t>
      </w:r>
    </w:p>
    <w:p w14:paraId="0262BC07" w14:textId="77777777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2025 елда - 12363,0 мең сум;</w:t>
      </w:r>
    </w:p>
    <w:p w14:paraId="20D40D38" w14:textId="77777777" w:rsidR="002F2A5F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2026 елда - 12363,0 мең сум.</w:t>
      </w:r>
    </w:p>
    <w:p w14:paraId="020BEB6D" w14:textId="53ADFCCE" w:rsidR="006E4EA9" w:rsidRDefault="00722BD6" w:rsidP="00A54C0E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 xml:space="preserve">Программаны финанслау күләмнәре фараз характерында һәм тиешле елга һәм план чорына Лениногорск муниципаль районы </w:t>
      </w:r>
      <w:r>
        <w:rPr>
          <w:rFonts w:eastAsiaTheme="minorEastAsia" w:cs="Times New Roman"/>
          <w:szCs w:val="28"/>
          <w:lang w:val="tt"/>
        </w:rPr>
        <w:t>бюджеты проектын формалаштырганда ел саен төгәлләштерелергә тиеш.»</w:t>
      </w:r>
      <w:r>
        <w:rPr>
          <w:rFonts w:eastAsiaTheme="minorEastAsia" w:cs="Times New Roman"/>
          <w:szCs w:val="28"/>
          <w:lang w:val="tt"/>
        </w:rPr>
        <w:t>;</w:t>
      </w:r>
    </w:p>
    <w:p w14:paraId="1E53630E" w14:textId="77777777" w:rsidR="006E4EA9" w:rsidRDefault="00722BD6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Программаның 3 бүлеген түбәндәге редакциядә бәян итәргә:</w:t>
      </w:r>
    </w:p>
    <w:p w14:paraId="000BDB3F" w14:textId="25CB06CF" w:rsidR="006E4EA9" w:rsidRDefault="00722BD6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2021-2025 елларда Программаны финанслауның гомуми күләме Лениногорск муниципаль районы бюджеты акчалары исәбеннән булачак:</w:t>
      </w:r>
    </w:p>
    <w:p w14:paraId="61E6AB1E" w14:textId="77777777" w:rsidR="00F57423" w:rsidRPr="00214C00" w:rsidRDefault="00722BD6" w:rsidP="00214C00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 w:cs="Times New Roman"/>
          <w:szCs w:val="28"/>
        </w:rPr>
      </w:pPr>
      <w:r w:rsidRPr="00F57423">
        <w:rPr>
          <w:rFonts w:eastAsiaTheme="minorEastAsia" w:cs="Times New Roman"/>
          <w:szCs w:val="28"/>
          <w:lang w:val="tt"/>
        </w:rPr>
        <w:t>2021 ел</w:t>
      </w:r>
      <w:r w:rsidRPr="00F57423">
        <w:rPr>
          <w:rFonts w:eastAsiaTheme="minorEastAsia" w:cs="Times New Roman"/>
          <w:szCs w:val="28"/>
          <w:lang w:val="tt"/>
        </w:rPr>
        <w:t>да - 111284,59 мең сум;</w:t>
      </w:r>
    </w:p>
    <w:p w14:paraId="693F96AF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2022 елда - 129395,49 мең сум;</w:t>
      </w:r>
    </w:p>
    <w:p w14:paraId="4784978F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2023 елда - 162080,04 мең сум;</w:t>
      </w:r>
    </w:p>
    <w:p w14:paraId="44B71693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2024 елда - 166422,70 мең сум;</w:t>
      </w:r>
    </w:p>
    <w:p w14:paraId="3EE9E623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2025 елда - 168664,40 мең сум;</w:t>
      </w:r>
    </w:p>
    <w:p w14:paraId="2E2E934C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2026 елда - 171172,30 мең сум.</w:t>
      </w:r>
    </w:p>
    <w:p w14:paraId="4BD5A87E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lastRenderedPageBreak/>
        <w:t>Бюджеттан тыш акчалар хисабына:</w:t>
      </w:r>
    </w:p>
    <w:p w14:paraId="5EADDA77" w14:textId="77777777" w:rsidR="00F57423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2021 елда -  14582,76 мең сум;</w:t>
      </w:r>
    </w:p>
    <w:p w14:paraId="4EA2E843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 xml:space="preserve">2022 елда - </w:t>
      </w:r>
      <w:r>
        <w:rPr>
          <w:rFonts w:eastAsiaTheme="minorEastAsia" w:cs="Times New Roman"/>
          <w:szCs w:val="28"/>
          <w:lang w:val="tt"/>
        </w:rPr>
        <w:t>14736,33 мең сум;</w:t>
      </w:r>
    </w:p>
    <w:p w14:paraId="5AB534CB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2023 елда - 16361,03 мең сум;</w:t>
      </w:r>
    </w:p>
    <w:p w14:paraId="74B74382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2024 елда - 12363,0 мең сум;</w:t>
      </w:r>
    </w:p>
    <w:p w14:paraId="35A5C46B" w14:textId="77777777" w:rsidR="00034B35" w:rsidRDefault="00722BD6" w:rsidP="00034B35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2025 елда - 12363,0 мең сум;</w:t>
      </w:r>
    </w:p>
    <w:p w14:paraId="336D0FD1" w14:textId="05169F85" w:rsidR="00034B35" w:rsidRDefault="00722BD6" w:rsidP="00A54C0E">
      <w:pPr>
        <w:pStyle w:val="a5"/>
        <w:widowControl w:val="0"/>
        <w:autoSpaceDE w:val="0"/>
        <w:autoSpaceDN w:val="0"/>
        <w:adjustRightInd w:val="0"/>
        <w:spacing w:after="24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2026 елда - 12363,0 мең сум.»</w:t>
      </w:r>
      <w:r>
        <w:rPr>
          <w:rFonts w:eastAsiaTheme="minorEastAsia" w:cs="Times New Roman"/>
          <w:szCs w:val="28"/>
          <w:lang w:val="tt"/>
        </w:rPr>
        <w:t>;</w:t>
      </w:r>
    </w:p>
    <w:p w14:paraId="7A04A1AF" w14:textId="291CA1F4" w:rsidR="006E4EA9" w:rsidRPr="00097CB7" w:rsidRDefault="00722BD6" w:rsidP="00A54C0E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Программага 2, 3 кушымталарын кушымтада бирелгән яңа редакциядә расларга.</w:t>
      </w:r>
    </w:p>
    <w:p w14:paraId="1EBBB1D5" w14:textId="485A2303" w:rsidR="006E4EA9" w:rsidRPr="00EA3E52" w:rsidRDefault="00722BD6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2.Әлеге карарның үтәлешен тикшереп торуны «</w:t>
      </w:r>
      <w:r>
        <w:rPr>
          <w:rFonts w:cs="Times New Roman"/>
          <w:color w:val="000000"/>
          <w:szCs w:val="28"/>
          <w:lang w:val="tt"/>
        </w:rPr>
        <w:t>Ле</w:t>
      </w:r>
      <w:r>
        <w:rPr>
          <w:rFonts w:cs="Times New Roman"/>
          <w:color w:val="000000"/>
          <w:szCs w:val="28"/>
          <w:lang w:val="tt"/>
        </w:rPr>
        <w:t>ниногорск муниципаль районы»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җитәкчесенең социаль мәсьәләләр буенча урынбасары Г.Х. Вагизовага йөкләргә.</w:t>
      </w:r>
    </w:p>
    <w:p w14:paraId="21A20A94" w14:textId="77777777" w:rsidR="006E4EA9" w:rsidRDefault="006E4EA9" w:rsidP="006E4EA9">
      <w:pPr>
        <w:rPr>
          <w:szCs w:val="28"/>
        </w:rPr>
      </w:pPr>
    </w:p>
    <w:p w14:paraId="254201FF" w14:textId="6B7D9517" w:rsidR="006E4EA9" w:rsidRDefault="00722BD6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 xml:space="preserve">Җитәкче                                                                        </w:t>
      </w:r>
      <w:r>
        <w:rPr>
          <w:szCs w:val="28"/>
          <w:lang w:val="tt"/>
        </w:rPr>
        <w:t xml:space="preserve">  </w:t>
      </w:r>
      <w:r w:rsidRPr="00722BD6">
        <w:rPr>
          <w:szCs w:val="28"/>
          <w:lang w:val="tt"/>
        </w:rPr>
        <w:t>З.Г. Михайлова</w:t>
      </w:r>
      <w:r>
        <w:rPr>
          <w:szCs w:val="28"/>
          <w:lang w:val="tt"/>
        </w:rPr>
        <w:t xml:space="preserve">                                                                                                   </w:t>
      </w:r>
      <w:r>
        <w:rPr>
          <w:szCs w:val="28"/>
          <w:lang w:val="tt"/>
        </w:rPr>
        <w:t xml:space="preserve">                                   </w:t>
      </w:r>
    </w:p>
    <w:p w14:paraId="70536202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9E3E6C7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39E277BC" w14:textId="77777777" w:rsidR="006E4EA9" w:rsidRDefault="00722BD6" w:rsidP="006E4EA9">
      <w:pPr>
        <w:jc w:val="both"/>
        <w:rPr>
          <w:sz w:val="22"/>
          <w:szCs w:val="22"/>
        </w:rPr>
      </w:pPr>
      <w:r>
        <w:rPr>
          <w:sz w:val="24"/>
          <w:lang w:val="tt"/>
        </w:rPr>
        <w:t>М.М. Хәсәнов</w:t>
      </w:r>
    </w:p>
    <w:p w14:paraId="40183A78" w14:textId="77777777" w:rsidR="007413F9" w:rsidRDefault="00722BD6" w:rsidP="006E4EA9">
      <w:pPr>
        <w:jc w:val="both"/>
        <w:rPr>
          <w:sz w:val="22"/>
          <w:szCs w:val="22"/>
        </w:rPr>
        <w:sectPr w:rsidR="007413F9" w:rsidSect="00A54C0E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  <w:lang w:val="tt"/>
        </w:rPr>
        <w:t>5-49-40</w:t>
      </w:r>
    </w:p>
    <w:p w14:paraId="37DAF73D" w14:textId="7A2DFE6F" w:rsidR="007413F9" w:rsidRPr="007413F9" w:rsidRDefault="00722BD6" w:rsidP="00931DBA">
      <w:pPr>
        <w:ind w:right="536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lastRenderedPageBreak/>
        <w:t>«</w:t>
      </w:r>
      <w:r w:rsidRPr="007413F9">
        <w:rPr>
          <w:rFonts w:eastAsia="Calibri" w:cs="Times New Roman"/>
          <w:sz w:val="24"/>
          <w:lang w:val="tt" w:eastAsia="en-US"/>
        </w:rPr>
        <w:t>2021-2025 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Pr="007413F9">
        <w:rPr>
          <w:rFonts w:eastAsia="Calibri" w:cs="Times New Roman"/>
          <w:sz w:val="24"/>
          <w:lang w:val="tt" w:eastAsia="en-US"/>
        </w:rPr>
        <w:t xml:space="preserve"> муниципаль программасына 2 нче кушымта</w:t>
      </w:r>
    </w:p>
    <w:p w14:paraId="19E021E8" w14:textId="77777777" w:rsidR="00F352D9" w:rsidRDefault="00F352D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</w:p>
    <w:p w14:paraId="6A85308E" w14:textId="3D04A821" w:rsidR="007413F9" w:rsidRPr="007413F9" w:rsidRDefault="00722BD6" w:rsidP="00931DBA">
      <w:pPr>
        <w:widowControl w:val="0"/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"/>
        </w:rPr>
        <w:t>«</w:t>
      </w:r>
      <w:r w:rsidRPr="007413F9">
        <w:rPr>
          <w:rFonts w:cs="Times New Roman"/>
          <w:bCs/>
          <w:szCs w:val="28"/>
          <w:lang w:val="tt"/>
        </w:rPr>
        <w:t xml:space="preserve">2021-2025 елларга </w:t>
      </w:r>
      <w:r w:rsidRPr="007413F9">
        <w:rPr>
          <w:rFonts w:cs="Times New Roman"/>
          <w:bCs/>
          <w:szCs w:val="28"/>
          <w:lang w:val="tt"/>
        </w:rPr>
        <w:t>Лениногорск муниципаль районында физик 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Pr="007413F9">
        <w:rPr>
          <w:rFonts w:cs="Times New Roman"/>
          <w:bCs/>
          <w:szCs w:val="28"/>
          <w:lang w:val="tt"/>
        </w:rPr>
        <w:t xml:space="preserve"> муниципаль программасының максатлары, бурычлары һәм программа чаралары буенча финанслау</w:t>
      </w:r>
    </w:p>
    <w:p w14:paraId="12A4992F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5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2127"/>
        <w:gridCol w:w="1561"/>
        <w:gridCol w:w="992"/>
        <w:gridCol w:w="851"/>
        <w:gridCol w:w="1304"/>
        <w:gridCol w:w="1249"/>
        <w:gridCol w:w="1359"/>
        <w:gridCol w:w="1304"/>
        <w:gridCol w:w="1304"/>
        <w:gridCol w:w="1304"/>
      </w:tblGrid>
      <w:tr w:rsidR="00F55B48" w14:paraId="2ED52F84" w14:textId="77777777" w:rsidTr="000851E9">
        <w:trPr>
          <w:cantSplit/>
          <w:trHeight w:val="187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6EC" w14:textId="77777777" w:rsidR="00F57423" w:rsidRPr="007413F9" w:rsidRDefault="00F57423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</w:p>
          <w:p w14:paraId="2F347414" w14:textId="77777777" w:rsidR="00F57423" w:rsidRPr="007413F9" w:rsidRDefault="00722BD6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№</w:t>
            </w:r>
          </w:p>
          <w:p w14:paraId="0A55DCAA" w14:textId="77777777" w:rsidR="00F57423" w:rsidRPr="007413F9" w:rsidRDefault="00722BD6" w:rsidP="007413F9">
            <w:pPr>
              <w:widowControl w:val="0"/>
              <w:ind w:left="-108" w:right="-54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т/б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F1E7B" w14:textId="77777777" w:rsidR="00F57423" w:rsidRPr="007413F9" w:rsidRDefault="00722BD6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Атамасы</w:t>
            </w:r>
          </w:p>
          <w:p w14:paraId="48411B6A" w14:textId="77777777" w:rsidR="00F57423" w:rsidRPr="007413F9" w:rsidRDefault="00722BD6" w:rsidP="007413F9">
            <w:pPr>
              <w:widowControl w:val="0"/>
              <w:ind w:left="-98" w:right="-31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 Максатлар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C59D55" w14:textId="77777777" w:rsidR="00F57423" w:rsidRPr="007413F9" w:rsidRDefault="00722BD6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Атамасы </w:t>
            </w:r>
          </w:p>
          <w:p w14:paraId="2C3187F8" w14:textId="77777777" w:rsidR="00F57423" w:rsidRPr="007413F9" w:rsidRDefault="00722BD6" w:rsidP="007413F9">
            <w:pPr>
              <w:widowControl w:val="0"/>
              <w:ind w:left="-98" w:right="-77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Бурычлар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F084" w14:textId="77777777" w:rsidR="00F57423" w:rsidRPr="007413F9" w:rsidRDefault="00722BD6" w:rsidP="007413F9">
            <w:pPr>
              <w:widowControl w:val="0"/>
              <w:ind w:left="-98" w:righ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Башкаручылар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CAD00" w14:textId="77777777" w:rsidR="00F57423" w:rsidRPr="007413F9" w:rsidRDefault="00722BD6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Төп чараларна еллар буенча</w:t>
            </w:r>
          </w:p>
          <w:p w14:paraId="2715C9EC" w14:textId="77777777" w:rsidR="00F57423" w:rsidRPr="007413F9" w:rsidRDefault="00722BD6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 башкару вакыты,</w:t>
            </w:r>
          </w:p>
          <w:p w14:paraId="09F022F4" w14:textId="77777777" w:rsidR="00F57423" w:rsidRPr="007413F9" w:rsidRDefault="00722BD6" w:rsidP="007413F9">
            <w:pPr>
              <w:widowControl w:val="0"/>
              <w:ind w:left="-98" w:right="-182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  еллар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79914D" w14:textId="77777777" w:rsidR="00F57423" w:rsidRPr="007413F9" w:rsidRDefault="00722BD6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 xml:space="preserve">Финанслау чыганагы </w:t>
            </w:r>
          </w:p>
          <w:p w14:paraId="3EC82CAF" w14:textId="77777777" w:rsidR="00F57423" w:rsidRPr="007413F9" w:rsidRDefault="00722BD6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.</w:t>
            </w:r>
          </w:p>
        </w:tc>
        <w:tc>
          <w:tcPr>
            <w:tcW w:w="7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1D21" w14:textId="77777777" w:rsidR="00F57423" w:rsidRPr="007413F9" w:rsidRDefault="00722BD6" w:rsidP="007413F9">
            <w:pPr>
              <w:widowControl w:val="0"/>
              <w:spacing w:before="108" w:after="108"/>
              <w:jc w:val="center"/>
              <w:outlineLvl w:val="0"/>
              <w:rPr>
                <w:rFonts w:cs="Times New Roman"/>
                <w:b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Финанслау</w:t>
            </w:r>
          </w:p>
        </w:tc>
      </w:tr>
      <w:tr w:rsidR="00F55B48" w14:paraId="46900827" w14:textId="77777777" w:rsidTr="000851E9">
        <w:trPr>
          <w:cantSplit/>
          <w:trHeight w:val="2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B1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DC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7EC3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604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5DE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C408" w14:textId="77777777" w:rsidR="00F57423" w:rsidRPr="007413F9" w:rsidRDefault="00F57423" w:rsidP="007413F9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B17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>
              <w:rPr>
                <w:rFonts w:cs="Times New Roman"/>
                <w:bCs/>
                <w:sz w:val="24"/>
                <w:szCs w:val="22"/>
                <w:lang w:val="tt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670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2022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B6F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CBB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E212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81BE" w14:textId="77777777" w:rsidR="00F57423" w:rsidRPr="007413F9" w:rsidRDefault="00722BD6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2026</w:t>
            </w:r>
          </w:p>
        </w:tc>
      </w:tr>
      <w:tr w:rsidR="00F55B48" w14:paraId="73F10302" w14:textId="77777777" w:rsidTr="000851E9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8781" w14:textId="77777777" w:rsidR="00F57423" w:rsidRPr="007413F9" w:rsidRDefault="00722BD6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1057" w14:textId="77777777" w:rsidR="00F57423" w:rsidRPr="007413F9" w:rsidRDefault="00722BD6" w:rsidP="007413F9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Лениногорск муниципаль районында физик культура һәм спорт өлкәсендә дәүләт сәясәте программасын гамәлгә ашыру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773" w14:textId="77777777" w:rsidR="00F57423" w:rsidRPr="007413F9" w:rsidRDefault="00722BD6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Массакүләм физик культураны һәм спортны </w:t>
            </w: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үстерү, халыкның сәламәтлеген ныгыту, Лениногорск районының спорт имиджын ныгыту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B8F" w14:textId="095A8982" w:rsidR="00F57423" w:rsidRPr="007413F9" w:rsidRDefault="00722BD6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 xml:space="preserve"> </w:t>
            </w:r>
          </w:p>
          <w:p w14:paraId="557E0C30" w14:textId="77777777" w:rsidR="00F57423" w:rsidRPr="007413F9" w:rsidRDefault="00722BD6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МКУ</w:t>
            </w:r>
          </w:p>
          <w:p w14:paraId="5FA672F7" w14:textId="77777777" w:rsidR="00F57423" w:rsidRPr="007413F9" w:rsidRDefault="00F57423" w:rsidP="007413F9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0F954C4B" w14:textId="77777777" w:rsidR="00F57423" w:rsidRPr="007413F9" w:rsidRDefault="00F57423" w:rsidP="007413F9">
            <w:pPr>
              <w:spacing w:after="200"/>
              <w:jc w:val="center"/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9590" w14:textId="77777777" w:rsidR="00F57423" w:rsidRPr="007413F9" w:rsidRDefault="00722BD6" w:rsidP="007413F9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413F9">
              <w:rPr>
                <w:rFonts w:cs="Times New Roman"/>
                <w:sz w:val="24"/>
                <w:szCs w:val="22"/>
                <w:lang w:val="tt" w:eastAsia="en-US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979F" w14:textId="77777777" w:rsidR="00F57423" w:rsidRPr="007413F9" w:rsidRDefault="00722BD6" w:rsidP="00034B35">
            <w:pPr>
              <w:widowControl w:val="0"/>
              <w:spacing w:before="108" w:after="108" w:line="276" w:lineRule="auto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МБ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6E39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eastAsiaTheme="minorEastAsia" w:cs="Times New Roman"/>
                <w:sz w:val="24"/>
              </w:rPr>
            </w:pPr>
            <w:r w:rsidRPr="000851E9">
              <w:rPr>
                <w:rFonts w:eastAsiaTheme="minorEastAsia" w:cs="Times New Roman"/>
                <w:sz w:val="24"/>
                <w:lang w:val="tt"/>
              </w:rPr>
              <w:t>111284,59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B23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eastAsiaTheme="minorEastAsia" w:cs="Times New Roman"/>
                <w:sz w:val="24"/>
                <w:lang w:val="tt"/>
              </w:rPr>
              <w:t>129395,49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646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162080,04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EF4F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166422,7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887C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168664,4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E45" w14:textId="77777777" w:rsidR="00F57423" w:rsidRPr="000851E9" w:rsidRDefault="00722BD6" w:rsidP="007413F9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171172,3</w:t>
            </w:r>
          </w:p>
        </w:tc>
      </w:tr>
      <w:tr w:rsidR="00F55B48" w14:paraId="6ACE630B" w14:textId="77777777" w:rsidTr="000851E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AF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BEDE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1354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6C5A" w14:textId="77777777" w:rsidR="00F57423" w:rsidRPr="007413F9" w:rsidRDefault="00F57423" w:rsidP="007413F9">
            <w:pPr>
              <w:rPr>
                <w:rFonts w:eastAsia="Calibri" w:cs="Times New Roman"/>
                <w:sz w:val="24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A378" w14:textId="77777777" w:rsidR="00F57423" w:rsidRPr="007413F9" w:rsidRDefault="00F57423" w:rsidP="007413F9">
            <w:pPr>
              <w:rPr>
                <w:rFonts w:cs="Times New Roman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0636" w14:textId="77777777" w:rsidR="00F57423" w:rsidRPr="007413F9" w:rsidRDefault="00722BD6" w:rsidP="00034B35">
            <w:pPr>
              <w:widowControl w:val="0"/>
              <w:spacing w:before="240" w:line="276" w:lineRule="auto"/>
              <w:ind w:right="-108"/>
              <w:jc w:val="center"/>
              <w:outlineLvl w:val="0"/>
              <w:rPr>
                <w:rFonts w:cs="Times New Roman"/>
                <w:bCs/>
                <w:sz w:val="24"/>
                <w:szCs w:val="22"/>
              </w:rPr>
            </w:pPr>
            <w:r w:rsidRPr="007413F9">
              <w:rPr>
                <w:rFonts w:cs="Times New Roman"/>
                <w:bCs/>
                <w:sz w:val="24"/>
                <w:szCs w:val="22"/>
                <w:lang w:val="tt"/>
              </w:rPr>
              <w:t>Внб.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ABC" w14:textId="77777777" w:rsidR="00F57423" w:rsidRPr="000851E9" w:rsidRDefault="00722BD6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eastAsiaTheme="minorEastAsia" w:cs="Times New Roman"/>
                <w:sz w:val="24"/>
                <w:lang w:val="tt"/>
              </w:rPr>
              <w:t>14582,76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EE1B" w14:textId="77777777" w:rsidR="00F57423" w:rsidRPr="000851E9" w:rsidRDefault="00722BD6" w:rsidP="007413F9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4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14736,33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30F0" w14:textId="77777777" w:rsidR="00F57423" w:rsidRPr="000851E9" w:rsidRDefault="00722BD6" w:rsidP="001A2D5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16361,03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4AB2" w14:textId="77777777" w:rsidR="00F57423" w:rsidRPr="000851E9" w:rsidRDefault="00722BD6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A88" w14:textId="77777777" w:rsidR="00F57423" w:rsidRPr="000851E9" w:rsidRDefault="00722BD6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12363,0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2244" w14:textId="77777777" w:rsidR="00F57423" w:rsidRPr="000851E9" w:rsidRDefault="00722BD6" w:rsidP="007413F9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4"/>
                <w:lang w:eastAsia="en-US"/>
              </w:rPr>
            </w:pPr>
            <w:r w:rsidRPr="000851E9">
              <w:rPr>
                <w:rFonts w:cs="Times New Roman"/>
                <w:bCs/>
                <w:sz w:val="24"/>
                <w:lang w:val="tt"/>
              </w:rPr>
              <w:t>12363,0</w:t>
            </w:r>
          </w:p>
        </w:tc>
      </w:tr>
      <w:tr w:rsidR="00F55B48" w14:paraId="4B624600" w14:textId="77777777" w:rsidTr="002C56C6"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CC2" w14:textId="77777777" w:rsidR="000851E9" w:rsidRPr="000851E9" w:rsidRDefault="00722BD6" w:rsidP="000851E9">
            <w:pPr>
              <w:spacing w:before="240" w:line="276" w:lineRule="auto"/>
              <w:jc w:val="right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  <w:lang w:val="tt"/>
              </w:rPr>
              <w:t>Барлыгы: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759" w14:textId="77777777" w:rsidR="000851E9" w:rsidRPr="000851E9" w:rsidRDefault="00722BD6" w:rsidP="007413F9">
            <w:pPr>
              <w:spacing w:before="240" w:line="276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  <w:lang w:val="tt"/>
              </w:rPr>
              <w:t>991788,64</w:t>
            </w:r>
          </w:p>
        </w:tc>
      </w:tr>
    </w:tbl>
    <w:p w14:paraId="14245195" w14:textId="77777777" w:rsidR="007413F9" w:rsidRDefault="007413F9" w:rsidP="006E4EA9">
      <w:pPr>
        <w:jc w:val="both"/>
        <w:rPr>
          <w:sz w:val="22"/>
          <w:szCs w:val="22"/>
        </w:rPr>
      </w:pPr>
    </w:p>
    <w:p w14:paraId="09F8552A" w14:textId="442B9FC6" w:rsidR="000C54BF" w:rsidRPr="000C54BF" w:rsidRDefault="00722BD6" w:rsidP="00931DBA">
      <w:pPr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«</w:t>
      </w:r>
      <w:r w:rsidRPr="000C54BF">
        <w:rPr>
          <w:rFonts w:eastAsia="Calibri" w:cs="Times New Roman"/>
          <w:sz w:val="24"/>
          <w:lang w:val="tt" w:eastAsia="en-US"/>
        </w:rPr>
        <w:t>2021-2025 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Pr="000C54BF">
        <w:rPr>
          <w:rFonts w:eastAsia="Calibri" w:cs="Times New Roman"/>
          <w:sz w:val="24"/>
          <w:lang w:val="tt" w:eastAsia="en-US"/>
        </w:rPr>
        <w:t xml:space="preserve"> муниципаль программасына 3 нче кушымта</w:t>
      </w:r>
    </w:p>
    <w:p w14:paraId="16E7D433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B8B3B0C" w14:textId="42AFD868" w:rsidR="000C54BF" w:rsidRPr="000C54BF" w:rsidRDefault="00722BD6" w:rsidP="00931DBA">
      <w:pPr>
        <w:widowControl w:val="0"/>
        <w:autoSpaceDE w:val="0"/>
        <w:autoSpaceDN w:val="0"/>
        <w:adjustRightInd w:val="0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"/>
        </w:rPr>
        <w:t>«</w:t>
      </w:r>
      <w:r w:rsidRPr="000C54BF">
        <w:rPr>
          <w:rFonts w:cs="Times New Roman"/>
          <w:bCs/>
          <w:szCs w:val="28"/>
          <w:lang w:val="tt"/>
        </w:rPr>
        <w:t>2021-2025 елларга Лениногорск муниципаль районында физик 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Pr="000C54BF">
        <w:rPr>
          <w:rFonts w:cs="Times New Roman"/>
          <w:bCs/>
          <w:szCs w:val="28"/>
          <w:lang w:val="tt"/>
        </w:rPr>
        <w:t xml:space="preserve"> муниципаль </w:t>
      </w:r>
      <w:r w:rsidRPr="000C54BF">
        <w:rPr>
          <w:rFonts w:cs="Times New Roman"/>
          <w:bCs/>
          <w:szCs w:val="28"/>
          <w:lang w:val="tt"/>
        </w:rPr>
        <w:t>программасының максатлары, бурычлары һәм программа чаралары буенча финанслау</w:t>
      </w:r>
    </w:p>
    <w:p w14:paraId="17650C5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5276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4063"/>
        <w:gridCol w:w="1417"/>
        <w:gridCol w:w="1701"/>
        <w:gridCol w:w="1559"/>
        <w:gridCol w:w="2127"/>
      </w:tblGrid>
      <w:tr w:rsidR="00F55B48" w14:paraId="4230CD7C" w14:textId="77777777" w:rsidTr="00F352D9">
        <w:trPr>
          <w:trHeight w:val="894"/>
        </w:trPr>
        <w:tc>
          <w:tcPr>
            <w:tcW w:w="599" w:type="dxa"/>
            <w:vMerge w:val="restart"/>
          </w:tcPr>
          <w:p w14:paraId="1A97E676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№ т/б</w:t>
            </w:r>
          </w:p>
        </w:tc>
        <w:tc>
          <w:tcPr>
            <w:tcW w:w="1919" w:type="dxa"/>
            <w:vMerge w:val="restart"/>
          </w:tcPr>
          <w:p w14:paraId="507109D1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Максатның атамасы</w:t>
            </w:r>
          </w:p>
        </w:tc>
        <w:tc>
          <w:tcPr>
            <w:tcW w:w="1891" w:type="dxa"/>
            <w:vMerge w:val="restart"/>
          </w:tcPr>
          <w:p w14:paraId="1B9285AC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Бурычның атамасы</w:t>
            </w:r>
          </w:p>
        </w:tc>
        <w:tc>
          <w:tcPr>
            <w:tcW w:w="4063" w:type="dxa"/>
            <w:vMerge w:val="restart"/>
          </w:tcPr>
          <w:p w14:paraId="5F1EDCCB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417" w:type="dxa"/>
            <w:vMerge w:val="restart"/>
          </w:tcPr>
          <w:p w14:paraId="3E093243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Башкаручылар</w:t>
            </w:r>
          </w:p>
        </w:tc>
        <w:tc>
          <w:tcPr>
            <w:tcW w:w="1701" w:type="dxa"/>
            <w:vMerge w:val="restart"/>
          </w:tcPr>
          <w:p w14:paraId="01D9F801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 xml:space="preserve">Төп чараларны </w:t>
            </w:r>
            <w:r w:rsidRPr="000C54BF">
              <w:rPr>
                <w:rFonts w:eastAsia="Calibri" w:cs="Times New Roman"/>
                <w:sz w:val="24"/>
                <w:lang w:val="tt" w:eastAsia="en-US"/>
              </w:rPr>
              <w:lastRenderedPageBreak/>
              <w:t>башкару сроклары, еллар</w:t>
            </w:r>
          </w:p>
        </w:tc>
        <w:tc>
          <w:tcPr>
            <w:tcW w:w="1559" w:type="dxa"/>
            <w:vMerge w:val="restart"/>
          </w:tcPr>
          <w:p w14:paraId="220BF2AA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lastRenderedPageBreak/>
              <w:t>Финанслау чыганагы</w:t>
            </w:r>
          </w:p>
        </w:tc>
        <w:tc>
          <w:tcPr>
            <w:tcW w:w="2127" w:type="dxa"/>
          </w:tcPr>
          <w:p w14:paraId="3F69355C" w14:textId="77777777" w:rsidR="000C54BF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F55B48" w14:paraId="5EA3C0DD" w14:textId="77777777" w:rsidTr="00F352D9">
        <w:trPr>
          <w:trHeight w:val="631"/>
        </w:trPr>
        <w:tc>
          <w:tcPr>
            <w:tcW w:w="599" w:type="dxa"/>
            <w:vMerge/>
          </w:tcPr>
          <w:p w14:paraId="6547D75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101C7DB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00FCB4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  <w:vMerge/>
          </w:tcPr>
          <w:p w14:paraId="68F5DE3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17" w:type="dxa"/>
            <w:vMerge/>
          </w:tcPr>
          <w:p w14:paraId="3B5B0779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2E3A93D6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559" w:type="dxa"/>
            <w:vMerge/>
          </w:tcPr>
          <w:p w14:paraId="18463B4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127" w:type="dxa"/>
          </w:tcPr>
          <w:p w14:paraId="595CF805" w14:textId="77777777" w:rsidR="000C54BF" w:rsidRPr="000C54BF" w:rsidRDefault="00722BD6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2024</w:t>
            </w:r>
          </w:p>
        </w:tc>
      </w:tr>
      <w:tr w:rsidR="00F55B48" w14:paraId="489B4D57" w14:textId="77777777" w:rsidTr="00F352D9">
        <w:trPr>
          <w:trHeight w:val="894"/>
        </w:trPr>
        <w:tc>
          <w:tcPr>
            <w:tcW w:w="599" w:type="dxa"/>
          </w:tcPr>
          <w:p w14:paraId="4B2AD173" w14:textId="77777777" w:rsidR="00556738" w:rsidRPr="000C54BF" w:rsidRDefault="00722BD6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44B20996" w14:textId="77777777" w:rsidR="00556738" w:rsidRPr="000C54BF" w:rsidRDefault="00722BD6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Лениногорск муниципаль районында физик культура һәм спорт 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7D268D0A" w14:textId="77777777" w:rsidR="00556738" w:rsidRPr="000C54BF" w:rsidRDefault="00722BD6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Массакүләм физик культураны һәм спортны үстерү, халыкның сәламәтлеген ныгыту, Лениногорск районының спорт имиджын ныгыту</w:t>
            </w:r>
          </w:p>
        </w:tc>
        <w:tc>
          <w:tcPr>
            <w:tcW w:w="4063" w:type="dxa"/>
          </w:tcPr>
          <w:p w14:paraId="4AFDB8C3" w14:textId="77777777" w:rsidR="00556738" w:rsidRPr="00214C00" w:rsidRDefault="00722BD6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>Татарстан Республикасы сп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орт резервын әзерләүче Лениногорск муниципаль районы муниципаль физкультура спорт оешмаларын җиһазлау өчен спорт җиһазлары, экипировка һәм инвентарь сатып алу</w:t>
            </w:r>
          </w:p>
        </w:tc>
        <w:tc>
          <w:tcPr>
            <w:tcW w:w="1417" w:type="dxa"/>
            <w:vMerge w:val="restart"/>
          </w:tcPr>
          <w:p w14:paraId="02A5DBB3" w14:textId="522A6308" w:rsidR="00556738" w:rsidRPr="000C54BF" w:rsidRDefault="00722BD6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 xml:space="preserve"> </w:t>
            </w:r>
          </w:p>
          <w:p w14:paraId="2FEA00C0" w14:textId="77777777" w:rsidR="00556738" w:rsidRPr="000C54BF" w:rsidRDefault="00722BD6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val="tt" w:eastAsia="en-US"/>
              </w:rPr>
              <w:t>МКУ</w:t>
            </w:r>
          </w:p>
          <w:p w14:paraId="3F2B8B5C" w14:textId="77777777" w:rsidR="00556738" w:rsidRPr="000C54BF" w:rsidRDefault="00556738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048E2F74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5DBF1F40" w14:textId="77777777" w:rsidR="00556738" w:rsidRPr="000C54BF" w:rsidRDefault="00722BD6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2024</w:t>
            </w:r>
          </w:p>
        </w:tc>
        <w:tc>
          <w:tcPr>
            <w:tcW w:w="1559" w:type="dxa"/>
          </w:tcPr>
          <w:p w14:paraId="081EB73D" w14:textId="77777777" w:rsidR="00556738" w:rsidRPr="000C54BF" w:rsidRDefault="00722BD6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127" w:type="dxa"/>
          </w:tcPr>
          <w:p w14:paraId="1D686299" w14:textId="77777777" w:rsidR="00556738" w:rsidRPr="00034B35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34B35">
              <w:rPr>
                <w:rFonts w:cs="Times New Roman"/>
                <w:color w:val="000000"/>
                <w:sz w:val="24"/>
                <w:lang w:val="tt"/>
              </w:rPr>
              <w:t>370,74</w:t>
            </w:r>
          </w:p>
        </w:tc>
      </w:tr>
      <w:tr w:rsidR="00F55B48" w14:paraId="2CF79768" w14:textId="77777777" w:rsidTr="00F352D9">
        <w:trPr>
          <w:trHeight w:val="428"/>
        </w:trPr>
        <w:tc>
          <w:tcPr>
            <w:tcW w:w="599" w:type="dxa"/>
          </w:tcPr>
          <w:p w14:paraId="08F2E092" w14:textId="77777777" w:rsidR="00556738" w:rsidRPr="000C54BF" w:rsidRDefault="00722BD6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2.</w:t>
            </w:r>
          </w:p>
        </w:tc>
        <w:tc>
          <w:tcPr>
            <w:tcW w:w="1919" w:type="dxa"/>
            <w:vMerge/>
          </w:tcPr>
          <w:p w14:paraId="689DEBF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D728C5F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7E7FD4FA" w14:textId="77777777" w:rsidR="00556738" w:rsidRPr="00214C00" w:rsidRDefault="00722BD6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Югары квалификацияле спортчылар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әзерләгән өчен тренер-укытучыларга, шулай ук спорт резервын әзерләүче Лениногорск муниципаль районы муниципаль физкультура спорт оешмаларында эшләүче спортчыларга һәм спортчыларга ярышларда алынган нәтиҗәләр өчен бүләкләү</w:t>
            </w:r>
          </w:p>
        </w:tc>
        <w:tc>
          <w:tcPr>
            <w:tcW w:w="1417" w:type="dxa"/>
            <w:vMerge/>
          </w:tcPr>
          <w:p w14:paraId="091A6B1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558A228C" w14:textId="77777777" w:rsidR="00556738" w:rsidRPr="000C54BF" w:rsidRDefault="00722BD6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2024</w:t>
            </w:r>
          </w:p>
        </w:tc>
        <w:tc>
          <w:tcPr>
            <w:tcW w:w="1559" w:type="dxa"/>
          </w:tcPr>
          <w:p w14:paraId="2F5C379E" w14:textId="77777777" w:rsidR="00556738" w:rsidRPr="000C54BF" w:rsidRDefault="00722BD6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127" w:type="dxa"/>
          </w:tcPr>
          <w:p w14:paraId="7FCE6B4E" w14:textId="77777777" w:rsidR="00556738" w:rsidRPr="000C54BF" w:rsidRDefault="00722BD6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800,00</w:t>
            </w:r>
          </w:p>
        </w:tc>
      </w:tr>
      <w:tr w:rsidR="00F55B48" w14:paraId="2A347BE3" w14:textId="77777777" w:rsidTr="00F352D9">
        <w:trPr>
          <w:trHeight w:val="894"/>
        </w:trPr>
        <w:tc>
          <w:tcPr>
            <w:tcW w:w="599" w:type="dxa"/>
          </w:tcPr>
          <w:p w14:paraId="3178453A" w14:textId="77777777" w:rsidR="00556738" w:rsidRPr="000C54BF" w:rsidRDefault="00722BD6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3.</w:t>
            </w:r>
          </w:p>
        </w:tc>
        <w:tc>
          <w:tcPr>
            <w:tcW w:w="1919" w:type="dxa"/>
            <w:vMerge/>
          </w:tcPr>
          <w:p w14:paraId="6E0490B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031BE96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4F695A2E" w14:textId="77777777" w:rsidR="00556738" w:rsidRPr="00214C00" w:rsidRDefault="00722BD6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>Спорт әзерлегенең өстәмә белем бирү программаларын гамәлгә ашыручы Лениногорск муниципаль районы физкультура спорт оешмалары яшь белгечләренә акчалата түләү</w:t>
            </w:r>
          </w:p>
        </w:tc>
        <w:tc>
          <w:tcPr>
            <w:tcW w:w="1417" w:type="dxa"/>
            <w:vMerge/>
          </w:tcPr>
          <w:p w14:paraId="17B580D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291B66D5" w14:textId="77777777" w:rsidR="00556738" w:rsidRPr="000C54BF" w:rsidRDefault="00722BD6" w:rsidP="00034B35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2024</w:t>
            </w:r>
          </w:p>
        </w:tc>
        <w:tc>
          <w:tcPr>
            <w:tcW w:w="1559" w:type="dxa"/>
          </w:tcPr>
          <w:p w14:paraId="1B44C6DB" w14:textId="77777777" w:rsidR="00556738" w:rsidRPr="000C54BF" w:rsidRDefault="00722BD6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127" w:type="dxa"/>
          </w:tcPr>
          <w:p w14:paraId="388D925B" w14:textId="77777777" w:rsidR="00556738" w:rsidRPr="000C54BF" w:rsidRDefault="00722BD6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30,00</w:t>
            </w:r>
          </w:p>
        </w:tc>
      </w:tr>
      <w:tr w:rsidR="00F55B48" w14:paraId="11085919" w14:textId="77777777" w:rsidTr="00F352D9">
        <w:trPr>
          <w:trHeight w:val="894"/>
        </w:trPr>
        <w:tc>
          <w:tcPr>
            <w:tcW w:w="599" w:type="dxa"/>
          </w:tcPr>
          <w:p w14:paraId="3A816A3D" w14:textId="77777777" w:rsidR="00556738" w:rsidRPr="000C54BF" w:rsidRDefault="00722BD6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4.</w:t>
            </w:r>
          </w:p>
        </w:tc>
        <w:tc>
          <w:tcPr>
            <w:tcW w:w="1919" w:type="dxa"/>
            <w:vMerge/>
          </w:tcPr>
          <w:p w14:paraId="11D5778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5578049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4063" w:type="dxa"/>
          </w:tcPr>
          <w:p w14:paraId="48E14F3B" w14:textId="2D0852ED" w:rsidR="00556738" w:rsidRPr="00214C00" w:rsidRDefault="00722BD6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Татарстан Республикасы Лениногорск муниципаль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районының </w:t>
            </w:r>
            <w:r>
              <w:rPr>
                <w:rFonts w:cs="Times New Roman"/>
                <w:color w:val="000000"/>
                <w:sz w:val="24"/>
                <w:lang w:val="tt"/>
              </w:rPr>
              <w:t>«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Нефтяник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спорт мәктәбе</w:t>
            </w:r>
            <w:r>
              <w:rPr>
                <w:rFonts w:cs="Times New Roman"/>
                <w:color w:val="000000"/>
                <w:sz w:val="24"/>
                <w:lang w:val="tt"/>
              </w:rPr>
              <w:t>»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 xml:space="preserve"> өстәмә белем бирү муниципаль бюджет 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lastRenderedPageBreak/>
              <w:t>учреждениесенең спорт командаларын хоккей буенча Татарстан Республикасы чемпионатында һәм хоккей буенча Россия Федерациясе чемпионатында (А подтөркеме) әзерләү һәм катнашу программалар</w:t>
            </w:r>
            <w:r w:rsidRPr="00214C00">
              <w:rPr>
                <w:rFonts w:cs="Times New Roman"/>
                <w:color w:val="000000"/>
                <w:sz w:val="24"/>
                <w:lang w:val="tt"/>
              </w:rPr>
              <w:t>ын гамәлгә ашыру</w:t>
            </w:r>
          </w:p>
        </w:tc>
        <w:tc>
          <w:tcPr>
            <w:tcW w:w="1417" w:type="dxa"/>
            <w:vMerge/>
          </w:tcPr>
          <w:p w14:paraId="06A954B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2922BE01" w14:textId="77777777" w:rsidR="00556738" w:rsidRPr="000C54BF" w:rsidRDefault="00722BD6" w:rsidP="00556738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2024</w:t>
            </w:r>
          </w:p>
        </w:tc>
        <w:tc>
          <w:tcPr>
            <w:tcW w:w="1559" w:type="dxa"/>
          </w:tcPr>
          <w:p w14:paraId="34DFEC94" w14:textId="77777777" w:rsidR="00556738" w:rsidRPr="000C54BF" w:rsidRDefault="00722BD6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127" w:type="dxa"/>
          </w:tcPr>
          <w:p w14:paraId="0D83B6CC" w14:textId="77777777" w:rsidR="00556738" w:rsidRDefault="00722BD6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821,30</w:t>
            </w:r>
          </w:p>
        </w:tc>
      </w:tr>
    </w:tbl>
    <w:p w14:paraId="084ED546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F1578"/>
    <w:rsid w:val="00214C00"/>
    <w:rsid w:val="00216AF5"/>
    <w:rsid w:val="00251C7A"/>
    <w:rsid w:val="00291E7A"/>
    <w:rsid w:val="002E382F"/>
    <w:rsid w:val="002F09E9"/>
    <w:rsid w:val="002F2A5F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22BD6"/>
    <w:rsid w:val="007366AA"/>
    <w:rsid w:val="007413F9"/>
    <w:rsid w:val="0079284D"/>
    <w:rsid w:val="007A5055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575"/>
    <w:rsid w:val="00913B98"/>
    <w:rsid w:val="00931DBA"/>
    <w:rsid w:val="009658E3"/>
    <w:rsid w:val="009750F5"/>
    <w:rsid w:val="00991358"/>
    <w:rsid w:val="009F38BE"/>
    <w:rsid w:val="00A54C0E"/>
    <w:rsid w:val="00A6375A"/>
    <w:rsid w:val="00A71DB0"/>
    <w:rsid w:val="00A86E13"/>
    <w:rsid w:val="00AA5423"/>
    <w:rsid w:val="00AB0ECB"/>
    <w:rsid w:val="00AB7160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D06AD9"/>
    <w:rsid w:val="00D2725D"/>
    <w:rsid w:val="00D31645"/>
    <w:rsid w:val="00DB4A15"/>
    <w:rsid w:val="00DC1457"/>
    <w:rsid w:val="00DD5BF6"/>
    <w:rsid w:val="00E12840"/>
    <w:rsid w:val="00E16189"/>
    <w:rsid w:val="00E434EE"/>
    <w:rsid w:val="00E46523"/>
    <w:rsid w:val="00E56B48"/>
    <w:rsid w:val="00E64CB4"/>
    <w:rsid w:val="00E72672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352D9"/>
    <w:rsid w:val="00F438A5"/>
    <w:rsid w:val="00F55B48"/>
    <w:rsid w:val="00F57423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2D9F"/>
  <w15:docId w15:val="{41729321-ECD8-46C2-84B7-8254469A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3FF8-4F85-43E0-A7C1-B5DAF38E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Отдел СМИ</cp:lastModifiedBy>
  <cp:revision>2</cp:revision>
  <cp:lastPrinted>2024-02-19T07:29:00Z</cp:lastPrinted>
  <dcterms:created xsi:type="dcterms:W3CDTF">2024-02-21T07:46:00Z</dcterms:created>
  <dcterms:modified xsi:type="dcterms:W3CDTF">2024-02-21T07:46:00Z</dcterms:modified>
</cp:coreProperties>
</file>