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0D21" w14:textId="77777777" w:rsidR="000E08E8" w:rsidRDefault="001F5508" w:rsidP="000E08E8">
      <w:pPr>
        <w:ind w:right="-1"/>
        <w:rPr>
          <w:rFonts w:ascii="Times New Roman" w:eastAsia="Calibri" w:hAnsi="Times New Roman"/>
          <w:sz w:val="28"/>
          <w:szCs w:val="28"/>
          <w:lang w:val="tt" w:eastAsia="en-US"/>
        </w:rPr>
      </w:pPr>
      <w:r w:rsidRPr="00DF5DEC">
        <w:rPr>
          <w:rFonts w:ascii="Times New Roman" w:eastAsia="Calibri" w:hAnsi="Times New Roman"/>
          <w:sz w:val="28"/>
          <w:szCs w:val="28"/>
          <w:lang w:val="tt" w:eastAsia="en-US"/>
        </w:rPr>
        <w:t>ПОСТАНОВЛЕНИЕ</w:t>
      </w:r>
      <w:r w:rsidR="000E08E8">
        <w:rPr>
          <w:rFonts w:ascii="Times New Roman" w:eastAsia="Calibri" w:hAnsi="Times New Roman"/>
          <w:sz w:val="28"/>
          <w:szCs w:val="28"/>
          <w:lang w:val="tt" w:eastAsia="en-US"/>
        </w:rPr>
        <w:t xml:space="preserve">                                                   </w:t>
      </w:r>
      <w:r w:rsidR="000E08E8" w:rsidRPr="00DF5DEC">
        <w:rPr>
          <w:rFonts w:ascii="Times New Roman" w:eastAsia="Calibri" w:hAnsi="Times New Roman"/>
          <w:sz w:val="28"/>
          <w:szCs w:val="28"/>
          <w:lang w:val="tt" w:eastAsia="en-US"/>
        </w:rPr>
        <w:t>КАРА</w:t>
      </w:r>
      <w:r w:rsidR="000E08E8">
        <w:rPr>
          <w:rFonts w:ascii="Times New Roman" w:eastAsia="Calibri" w:hAnsi="Times New Roman"/>
          <w:sz w:val="28"/>
          <w:szCs w:val="28"/>
          <w:lang w:val="tt" w:eastAsia="en-US"/>
        </w:rPr>
        <w:t>Р</w:t>
      </w:r>
    </w:p>
    <w:p w14:paraId="77ABD450" w14:textId="77777777" w:rsidR="000E08E8" w:rsidRDefault="000E08E8" w:rsidP="000E08E8">
      <w:pPr>
        <w:ind w:right="-1"/>
        <w:rPr>
          <w:rFonts w:ascii="Times New Roman" w:eastAsia="Calibri" w:hAnsi="Times New Roman"/>
          <w:sz w:val="28"/>
          <w:szCs w:val="28"/>
          <w:lang w:val="tt" w:eastAsia="en-US"/>
        </w:rPr>
      </w:pPr>
    </w:p>
    <w:p w14:paraId="22B9A6F9" w14:textId="77777777" w:rsidR="000E08E8" w:rsidRDefault="000E08E8" w:rsidP="000E08E8">
      <w:pPr>
        <w:ind w:right="-1"/>
        <w:rPr>
          <w:rFonts w:ascii="Times New Roman" w:eastAsia="Calibri" w:hAnsi="Times New Roman"/>
          <w:sz w:val="28"/>
          <w:szCs w:val="28"/>
          <w:lang w:val="tt" w:eastAsia="en-US"/>
        </w:rPr>
      </w:pPr>
    </w:p>
    <w:p w14:paraId="088ADADC" w14:textId="15FCEA6A" w:rsidR="000E08E8" w:rsidRPr="00DF5DEC" w:rsidRDefault="001F5508" w:rsidP="000E08E8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DF5DEC">
        <w:rPr>
          <w:rFonts w:ascii="Times New Roman" w:eastAsia="Calibri" w:hAnsi="Times New Roman"/>
          <w:sz w:val="28"/>
          <w:szCs w:val="28"/>
          <w:lang w:val="tt" w:eastAsia="en-US"/>
        </w:rPr>
        <w:t xml:space="preserve"> 2024 елның "25" гыйнвары</w:t>
      </w:r>
      <w:r w:rsidR="000E08E8">
        <w:rPr>
          <w:rFonts w:ascii="Times New Roman" w:eastAsia="Calibri" w:hAnsi="Times New Roman"/>
          <w:sz w:val="28"/>
          <w:szCs w:val="28"/>
          <w:lang w:val="tt" w:eastAsia="en-US"/>
        </w:rPr>
        <w:t xml:space="preserve">          </w:t>
      </w:r>
      <w:r w:rsidR="000E08E8" w:rsidRPr="00DF5DEC">
        <w:rPr>
          <w:rFonts w:ascii="Times New Roman" w:eastAsia="Calibri" w:hAnsi="Times New Roman"/>
          <w:sz w:val="28"/>
          <w:szCs w:val="28"/>
          <w:lang w:val="tt" w:eastAsia="en-US"/>
        </w:rPr>
        <w:t xml:space="preserve">                   № 147</w:t>
      </w:r>
    </w:p>
    <w:p w14:paraId="51FAEF4E" w14:textId="77777777" w:rsidR="000E08E8" w:rsidRPr="00DF5DEC" w:rsidRDefault="000E08E8" w:rsidP="000E08E8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067C107" w14:textId="22BB64D2" w:rsidR="00444A74" w:rsidRPr="00DF5DEC" w:rsidRDefault="00444A74" w:rsidP="007A5055">
      <w:pPr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14:paraId="4138BC32" w14:textId="77777777" w:rsidR="002411A7" w:rsidRPr="00DF5DEC" w:rsidRDefault="002411A7" w:rsidP="0061260C">
      <w:pPr>
        <w:rPr>
          <w:rFonts w:ascii="Times New Roman" w:hAnsi="Times New Roman" w:cs="Times New Roman"/>
          <w:sz w:val="26"/>
          <w:szCs w:val="26"/>
        </w:rPr>
      </w:pPr>
    </w:p>
    <w:p w14:paraId="32F08467" w14:textId="77777777" w:rsidR="003C5136" w:rsidRPr="00DF5DEC" w:rsidRDefault="003C5136" w:rsidP="009B1C77">
      <w:pPr>
        <w:pStyle w:val="Style7"/>
        <w:widowControl/>
        <w:spacing w:before="58"/>
        <w:ind w:right="3715"/>
        <w:jc w:val="left"/>
        <w:rPr>
          <w:rStyle w:val="FontStyle13"/>
          <w:color w:val="auto"/>
        </w:rPr>
      </w:pPr>
    </w:p>
    <w:p w14:paraId="50143D68" w14:textId="40E0BB97" w:rsidR="009B1C77" w:rsidRDefault="009B1C77" w:rsidP="000A554E">
      <w:pPr>
        <w:rPr>
          <w:rStyle w:val="FontStyle13"/>
          <w:b w:val="0"/>
          <w:sz w:val="28"/>
          <w:szCs w:val="28"/>
        </w:rPr>
      </w:pPr>
    </w:p>
    <w:p w14:paraId="08897769" w14:textId="1CB6ABAC" w:rsidR="00444A74" w:rsidRDefault="00444A74" w:rsidP="000A554E">
      <w:pPr>
        <w:rPr>
          <w:rStyle w:val="FontStyle13"/>
          <w:b w:val="0"/>
          <w:sz w:val="28"/>
          <w:szCs w:val="28"/>
        </w:rPr>
      </w:pPr>
    </w:p>
    <w:p w14:paraId="26E4A5A0" w14:textId="77777777" w:rsidR="00444A74" w:rsidRPr="003C5136" w:rsidRDefault="00444A74" w:rsidP="000A554E">
      <w:pPr>
        <w:rPr>
          <w:rStyle w:val="FontStyle13"/>
          <w:b w:val="0"/>
          <w:sz w:val="28"/>
          <w:szCs w:val="28"/>
        </w:rPr>
      </w:pPr>
    </w:p>
    <w:p w14:paraId="75DA83E7" w14:textId="77777777" w:rsidR="003315F0" w:rsidRPr="003315F0" w:rsidRDefault="001F5508" w:rsidP="003315F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15F0">
        <w:rPr>
          <w:rFonts w:ascii="Times New Roman" w:hAnsi="Times New Roman" w:cs="Times New Roman"/>
          <w:bCs/>
          <w:sz w:val="28"/>
          <w:szCs w:val="28"/>
          <w:lang w:val="tt"/>
        </w:rPr>
        <w:t xml:space="preserve">Татарстан Республикасы Лениногорск муниципаль районында конкуренция үсешенә ярдәм итү буенча чаралар планына («Юл картасы») яңа редакциядә кушымта бәян итү турында </w:t>
      </w:r>
    </w:p>
    <w:p w14:paraId="01BD337B" w14:textId="77777777" w:rsidR="002411A7" w:rsidRPr="00444A74" w:rsidRDefault="002411A7" w:rsidP="00444A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6C9E4B" w14:textId="4747565A" w:rsidR="002411A7" w:rsidRPr="00444A74" w:rsidRDefault="001F5508" w:rsidP="00444A74">
      <w:pPr>
        <w:ind w:firstLine="851"/>
        <w:jc w:val="both"/>
        <w:rPr>
          <w:rStyle w:val="FontStyle14"/>
          <w:sz w:val="28"/>
          <w:szCs w:val="28"/>
        </w:rPr>
      </w:pPr>
      <w:r w:rsidRPr="00444A74">
        <w:rPr>
          <w:rStyle w:val="FontStyle14"/>
          <w:sz w:val="28"/>
          <w:szCs w:val="28"/>
          <w:lang w:val="tt"/>
        </w:rPr>
        <w:t>Россия Федерациясе Хөкүмәтенең 2021 елның 02 сентябрендәге 2424-р номерлы күрсәтмәсе белән</w:t>
      </w:r>
      <w:r w:rsidRPr="00444A74">
        <w:rPr>
          <w:rStyle w:val="FontStyle14"/>
          <w:sz w:val="28"/>
          <w:szCs w:val="28"/>
          <w:lang w:val="tt"/>
        </w:rPr>
        <w:t xml:space="preserve"> расланган 2021-2025 елларга Россия Федерациясендә конкуренцияне үстерү милли планы («юл картасы»)</w:t>
      </w:r>
      <w:r w:rsidRPr="00444A74">
        <w:rPr>
          <w:rStyle w:val="FontStyle14"/>
          <w:sz w:val="28"/>
          <w:szCs w:val="28"/>
          <w:lang w:val="tt"/>
        </w:rPr>
        <w:t xml:space="preserve">, Татарстан Республикасы Президентының 2021 елның 17 декабрендәге 332 номерлы күрсәтмәсе белән расланган Татарстан Республикасында конкуренция үсешенә ярдәм </w:t>
      </w:r>
      <w:r w:rsidRPr="00444A74">
        <w:rPr>
          <w:rStyle w:val="FontStyle14"/>
          <w:sz w:val="28"/>
          <w:szCs w:val="28"/>
          <w:lang w:val="tt"/>
        </w:rPr>
        <w:t>итү буенча чараларның региональ планы («юл картасы») нигезендә, Татарстан Республикасы Лениногорск муниципаль районы Башкарма комитеты КАРАР БИРӘ:</w:t>
      </w:r>
    </w:p>
    <w:p w14:paraId="2C018E53" w14:textId="58C44E9F" w:rsidR="002411A7" w:rsidRPr="00444A74" w:rsidRDefault="001F5508" w:rsidP="00444A74">
      <w:pPr>
        <w:ind w:firstLine="851"/>
        <w:jc w:val="both"/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</w:pPr>
      <w:r w:rsidRPr="00444A74">
        <w:rPr>
          <w:rStyle w:val="FontStyle14"/>
          <w:sz w:val="28"/>
          <w:szCs w:val="28"/>
          <w:lang w:val="tt"/>
        </w:rPr>
        <w:t xml:space="preserve">1.«Лениногорск муниципаль районы» муниципаль берәмлеге Башкарма комитетының 2023 елның 21 </w:t>
      </w:r>
      <w:r w:rsidRPr="00444A74">
        <w:rPr>
          <w:rStyle w:val="FontStyle14"/>
          <w:sz w:val="28"/>
          <w:szCs w:val="28"/>
          <w:lang w:val="tt"/>
        </w:rPr>
        <w:t>февралендәге  661 номерлы карары белән расланган 2022-2025 елларга Татарстан Республикасы Лениногорск муниципаль районы территориясендә конкуренцияне үстерүгә ярдәм итү буенча чаралар планын («Юл картасы») кушымта итеп бирелгән  яңа  редакциядә  бәян итәрг</w:t>
      </w:r>
      <w:r w:rsidRPr="00444A74">
        <w:rPr>
          <w:rStyle w:val="FontStyle14"/>
          <w:sz w:val="28"/>
          <w:szCs w:val="28"/>
          <w:lang w:val="tt"/>
        </w:rPr>
        <w:t>ә.</w:t>
      </w:r>
    </w:p>
    <w:p w14:paraId="52BDBFEC" w14:textId="1BD7BAEE" w:rsidR="002411A7" w:rsidRPr="00444A74" w:rsidRDefault="001F5508" w:rsidP="00444A74">
      <w:pPr>
        <w:ind w:firstLine="851"/>
        <w:jc w:val="both"/>
        <w:rPr>
          <w:rStyle w:val="FontStyle14"/>
          <w:sz w:val="28"/>
          <w:szCs w:val="28"/>
        </w:rPr>
      </w:pPr>
      <w:r w:rsidRPr="00444A74">
        <w:rPr>
          <w:rStyle w:val="FontStyle14"/>
          <w:sz w:val="28"/>
          <w:szCs w:val="28"/>
          <w:lang w:val="tt"/>
        </w:rPr>
        <w:t>2.Әлеге карарны Лениногорск муниципаль районының Интернет мәгълүмат-телекоммуникация челтәрендәге рәсми сайтында һәм Татарстан Республикасының хокукый мәгълүматның рәсми порталында (pravo.tatarstan.ru) бастырып чыгарырга.</w:t>
      </w:r>
    </w:p>
    <w:p w14:paraId="54789C4C" w14:textId="2ADCBC14" w:rsidR="002411A7" w:rsidRPr="00444A74" w:rsidRDefault="001F5508" w:rsidP="00444A74">
      <w:pPr>
        <w:ind w:firstLine="851"/>
        <w:jc w:val="both"/>
        <w:rPr>
          <w:rStyle w:val="FontStyle14"/>
          <w:sz w:val="28"/>
          <w:szCs w:val="28"/>
        </w:rPr>
      </w:pPr>
      <w:r w:rsidRPr="00444A74">
        <w:rPr>
          <w:rStyle w:val="FontStyle14"/>
          <w:sz w:val="28"/>
          <w:szCs w:val="28"/>
          <w:lang w:val="tt"/>
        </w:rPr>
        <w:t>3.Әлеге карарның үтәлешен тикше</w:t>
      </w:r>
      <w:r w:rsidRPr="00444A74">
        <w:rPr>
          <w:rStyle w:val="FontStyle14"/>
          <w:sz w:val="28"/>
          <w:szCs w:val="28"/>
          <w:lang w:val="tt"/>
        </w:rPr>
        <w:t>реп торуны Татарстан Республикасы «Лениногорск муниципаль районы» муниципаль берәмлеге Башкарма комитеты җитәкчесенең беренче урынбасары Г.А. Ивановага йөкләргә.</w:t>
      </w:r>
    </w:p>
    <w:p w14:paraId="4C4F4D22" w14:textId="77777777" w:rsidR="009B1C77" w:rsidRPr="00444A74" w:rsidRDefault="009B1C77" w:rsidP="00444A7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4"/>
        <w:gridCol w:w="3172"/>
        <w:gridCol w:w="3241"/>
      </w:tblGrid>
      <w:tr w:rsidR="00B61A96" w14:paraId="1270C1B3" w14:textId="77777777" w:rsidTr="00C24DB6">
        <w:tc>
          <w:tcPr>
            <w:tcW w:w="3331" w:type="dxa"/>
            <w:shd w:val="clear" w:color="auto" w:fill="auto"/>
          </w:tcPr>
          <w:p w14:paraId="194EFF33" w14:textId="77777777" w:rsidR="003C5136" w:rsidRPr="00444A74" w:rsidRDefault="001F5508" w:rsidP="00444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A74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Җитәкче </w:t>
            </w:r>
          </w:p>
        </w:tc>
        <w:tc>
          <w:tcPr>
            <w:tcW w:w="3332" w:type="dxa"/>
            <w:shd w:val="clear" w:color="auto" w:fill="auto"/>
          </w:tcPr>
          <w:p w14:paraId="06A105F2" w14:textId="77777777" w:rsidR="003C5136" w:rsidRPr="00444A74" w:rsidRDefault="003C5136" w:rsidP="00444A74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14:paraId="6A6DD427" w14:textId="6BD87DEE" w:rsidR="003C5136" w:rsidRPr="00444A74" w:rsidRDefault="001F5508" w:rsidP="00444A74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     З. Г Михайлова</w:t>
            </w:r>
          </w:p>
        </w:tc>
      </w:tr>
    </w:tbl>
    <w:p w14:paraId="0AC3A83A" w14:textId="1E34ABAA" w:rsidR="000002E8" w:rsidRPr="00444A74" w:rsidRDefault="000002E8" w:rsidP="00444A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AA499C" w14:textId="50D6CFFF" w:rsidR="003014B0" w:rsidRPr="00444A74" w:rsidRDefault="003014B0" w:rsidP="00444A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B93945" w14:textId="5A5BFA12" w:rsidR="009B1C77" w:rsidRPr="00444A74" w:rsidRDefault="001F5508" w:rsidP="009B1C77">
      <w:pPr>
        <w:jc w:val="both"/>
        <w:rPr>
          <w:rFonts w:ascii="Times New Roman" w:hAnsi="Times New Roman" w:cs="Times New Roman"/>
          <w:sz w:val="22"/>
          <w:szCs w:val="22"/>
        </w:rPr>
      </w:pPr>
      <w:r w:rsidRPr="00444A74">
        <w:rPr>
          <w:rFonts w:ascii="Times New Roman" w:hAnsi="Times New Roman" w:cs="Times New Roman"/>
          <w:sz w:val="22"/>
          <w:szCs w:val="22"/>
          <w:lang w:val="tt"/>
        </w:rPr>
        <w:t>М.Е. Максимова</w:t>
      </w:r>
    </w:p>
    <w:p w14:paraId="25066851" w14:textId="77777777" w:rsidR="00444A74" w:rsidRDefault="001F5508" w:rsidP="009B1C77">
      <w:pPr>
        <w:jc w:val="both"/>
        <w:rPr>
          <w:rFonts w:ascii="Times New Roman" w:hAnsi="Times New Roman" w:cs="Times New Roman"/>
          <w:sz w:val="22"/>
          <w:szCs w:val="22"/>
        </w:rPr>
        <w:sectPr w:rsidR="00444A74" w:rsidSect="00444A74">
          <w:headerReference w:type="default" r:id="rId6"/>
          <w:headerReference w:type="first" r:id="rId7"/>
          <w:pgSz w:w="11905" w:h="16837" w:code="9"/>
          <w:pgMar w:top="1134" w:right="1134" w:bottom="0" w:left="1134" w:header="720" w:footer="720" w:gutter="0"/>
          <w:pgNumType w:start="1"/>
          <w:cols w:space="720"/>
          <w:noEndnote/>
          <w:titlePg/>
          <w:docGrid w:linePitch="326"/>
        </w:sectPr>
      </w:pPr>
      <w:r w:rsidRPr="00444A74">
        <w:rPr>
          <w:rFonts w:ascii="Times New Roman" w:hAnsi="Times New Roman" w:cs="Times New Roman"/>
          <w:sz w:val="22"/>
          <w:szCs w:val="22"/>
          <w:lang w:val="tt"/>
        </w:rPr>
        <w:t>5-18-61</w:t>
      </w:r>
    </w:p>
    <w:p w14:paraId="55C2C33B" w14:textId="345D25F0" w:rsidR="00444A74" w:rsidRPr="00444A74" w:rsidRDefault="001F5508" w:rsidP="003315F0">
      <w:pPr>
        <w:adjustRightInd/>
        <w:ind w:right="37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444A74">
        <w:rPr>
          <w:rFonts w:ascii="Times New Roman" w:hAnsi="Times New Roman" w:cs="Times New Roman"/>
          <w:color w:val="0D0D0D" w:themeColor="text1" w:themeTint="F2"/>
          <w:sz w:val="28"/>
          <w:szCs w:val="28"/>
          <w:lang w:val="tt" w:eastAsia="en-US"/>
        </w:rPr>
        <w:lastRenderedPageBreak/>
        <w:t xml:space="preserve">Лениногорск муниципаль районы территориясендә конкуренция үсешенә ярдәм итү буенча чаралар планына («юл картасына») кушымта </w:t>
      </w:r>
    </w:p>
    <w:p w14:paraId="2BC88D12" w14:textId="77777777" w:rsidR="00444A74" w:rsidRPr="00444A74" w:rsidRDefault="00444A74" w:rsidP="00444A74">
      <w:pPr>
        <w:adjustRightInd/>
        <w:ind w:left="1091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14:paraId="47D8AED3" w14:textId="74852E3E" w:rsidR="00444A74" w:rsidRPr="00444A74" w:rsidRDefault="001F5508" w:rsidP="003315F0">
      <w:pPr>
        <w:adjustRightInd/>
        <w:spacing w:line="259" w:lineRule="auto"/>
        <w:ind w:left="415" w:right="853" w:hanging="7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444A74">
        <w:rPr>
          <w:rFonts w:ascii="Times New Roman" w:hAnsi="Times New Roman" w:cs="Times New Roman"/>
          <w:b/>
          <w:bCs/>
          <w:sz w:val="28"/>
          <w:szCs w:val="28"/>
          <w:lang w:val="tt" w:eastAsia="en-US"/>
        </w:rPr>
        <w:t>2022-2025 елларга Лениногорск муниципаль районы территориясендә конкуренцияне үстерүгә ярдәм и</w:t>
      </w:r>
      <w:r w:rsidRPr="00444A74">
        <w:rPr>
          <w:rFonts w:ascii="Times New Roman" w:hAnsi="Times New Roman" w:cs="Times New Roman"/>
          <w:b/>
          <w:bCs/>
          <w:sz w:val="28"/>
          <w:szCs w:val="28"/>
          <w:lang w:val="tt" w:eastAsia="en-US"/>
        </w:rPr>
        <w:t>тү буенча өстәмә чаралар («юл картасы») исемлеге</w:t>
      </w:r>
    </w:p>
    <w:p w14:paraId="5EB7B2D6" w14:textId="77777777" w:rsidR="00444A74" w:rsidRPr="00444A74" w:rsidRDefault="00444A74" w:rsidP="00444A74">
      <w:pPr>
        <w:adjustRightInd/>
        <w:spacing w:before="3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tbl>
      <w:tblPr>
        <w:tblStyle w:val="TableNormal0"/>
        <w:tblW w:w="14898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837"/>
        <w:gridCol w:w="4678"/>
        <w:gridCol w:w="1417"/>
        <w:gridCol w:w="2400"/>
      </w:tblGrid>
      <w:tr w:rsidR="00B61A96" w14:paraId="43002DC3" w14:textId="77777777" w:rsidTr="00ED1263">
        <w:trPr>
          <w:trHeight w:val="1217"/>
        </w:trPr>
        <w:tc>
          <w:tcPr>
            <w:tcW w:w="566" w:type="dxa"/>
          </w:tcPr>
          <w:p w14:paraId="4854A1F2" w14:textId="77777777" w:rsidR="00444A74" w:rsidRPr="00444A74" w:rsidRDefault="001F5508" w:rsidP="00444A74">
            <w:pPr>
              <w:adjustRightInd/>
              <w:ind w:left="11"/>
              <w:jc w:val="center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>N</w:t>
            </w:r>
          </w:p>
          <w:p w14:paraId="71D59176" w14:textId="77777777" w:rsidR="00444A74" w:rsidRPr="00444A74" w:rsidRDefault="001F5508" w:rsidP="00444A74">
            <w:pPr>
              <w:adjustRightInd/>
              <w:ind w:left="114" w:right="105"/>
              <w:jc w:val="center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>т/н</w:t>
            </w:r>
          </w:p>
        </w:tc>
        <w:tc>
          <w:tcPr>
            <w:tcW w:w="5837" w:type="dxa"/>
          </w:tcPr>
          <w:p w14:paraId="293A3FD3" w14:textId="77777777" w:rsidR="00444A74" w:rsidRPr="00444A74" w:rsidRDefault="001F5508" w:rsidP="00444A74">
            <w:pPr>
              <w:adjustRightInd/>
              <w:ind w:left="858" w:right="841"/>
              <w:jc w:val="center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>Чараның атамасы</w:t>
            </w:r>
          </w:p>
        </w:tc>
        <w:tc>
          <w:tcPr>
            <w:tcW w:w="4678" w:type="dxa"/>
          </w:tcPr>
          <w:p w14:paraId="3AAF411E" w14:textId="77777777" w:rsidR="00444A74" w:rsidRPr="00444A74" w:rsidRDefault="001F5508" w:rsidP="00444A74">
            <w:pPr>
              <w:adjustRightInd/>
              <w:ind w:left="468" w:right="460"/>
              <w:jc w:val="center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>Төп вакыйга/нәтиҗә</w:t>
            </w:r>
          </w:p>
        </w:tc>
        <w:tc>
          <w:tcPr>
            <w:tcW w:w="1417" w:type="dxa"/>
          </w:tcPr>
          <w:p w14:paraId="7061EFF7" w14:textId="77777777" w:rsidR="00444A74" w:rsidRPr="00444A74" w:rsidRDefault="001F5508" w:rsidP="00444A74">
            <w:pPr>
              <w:adjustRightInd/>
              <w:ind w:left="401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>Башкару вакыты</w:t>
            </w:r>
          </w:p>
        </w:tc>
        <w:tc>
          <w:tcPr>
            <w:tcW w:w="2400" w:type="dxa"/>
          </w:tcPr>
          <w:p w14:paraId="783FCF49" w14:textId="77777777" w:rsidR="00444A74" w:rsidRPr="00444A74" w:rsidRDefault="001F5508" w:rsidP="00444A74">
            <w:pPr>
              <w:adjustRightInd/>
              <w:ind w:left="416" w:right="73" w:hanging="310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>Башкаручы</w:t>
            </w:r>
          </w:p>
        </w:tc>
      </w:tr>
      <w:tr w:rsidR="00B61A96" w14:paraId="043CACEB" w14:textId="77777777" w:rsidTr="00ED1263">
        <w:trPr>
          <w:trHeight w:val="261"/>
        </w:trPr>
        <w:tc>
          <w:tcPr>
            <w:tcW w:w="566" w:type="dxa"/>
          </w:tcPr>
          <w:p w14:paraId="78E8709F" w14:textId="77777777" w:rsidR="00444A74" w:rsidRPr="00444A74" w:rsidRDefault="001F5508" w:rsidP="00444A74">
            <w:pPr>
              <w:adjustRightInd/>
              <w:ind w:left="10"/>
              <w:jc w:val="center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>1</w:t>
            </w:r>
          </w:p>
        </w:tc>
        <w:tc>
          <w:tcPr>
            <w:tcW w:w="5837" w:type="dxa"/>
          </w:tcPr>
          <w:p w14:paraId="08357B5A" w14:textId="77777777" w:rsidR="00444A74" w:rsidRPr="00444A74" w:rsidRDefault="001F5508" w:rsidP="00444A74">
            <w:pPr>
              <w:adjustRightInd/>
              <w:ind w:left="13"/>
              <w:jc w:val="center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>2</w:t>
            </w:r>
          </w:p>
        </w:tc>
        <w:tc>
          <w:tcPr>
            <w:tcW w:w="4678" w:type="dxa"/>
          </w:tcPr>
          <w:p w14:paraId="06C9DB47" w14:textId="77777777" w:rsidR="00444A74" w:rsidRPr="00444A74" w:rsidRDefault="001F5508" w:rsidP="00444A74">
            <w:pPr>
              <w:adjustRightInd/>
              <w:ind w:left="10"/>
              <w:jc w:val="center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>4</w:t>
            </w:r>
          </w:p>
        </w:tc>
        <w:tc>
          <w:tcPr>
            <w:tcW w:w="1417" w:type="dxa"/>
          </w:tcPr>
          <w:p w14:paraId="08EDF363" w14:textId="77777777" w:rsidR="00444A74" w:rsidRPr="00444A74" w:rsidRDefault="001F5508" w:rsidP="00444A74">
            <w:pPr>
              <w:adjustRightInd/>
              <w:ind w:left="11"/>
              <w:jc w:val="center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>5</w:t>
            </w:r>
          </w:p>
        </w:tc>
        <w:tc>
          <w:tcPr>
            <w:tcW w:w="2400" w:type="dxa"/>
          </w:tcPr>
          <w:p w14:paraId="2B9EC01C" w14:textId="77777777" w:rsidR="00444A74" w:rsidRPr="00444A74" w:rsidRDefault="001F5508" w:rsidP="00444A74">
            <w:pPr>
              <w:adjustRightInd/>
              <w:ind w:left="15"/>
              <w:jc w:val="center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>7</w:t>
            </w:r>
          </w:p>
        </w:tc>
      </w:tr>
      <w:tr w:rsidR="00B61A96" w14:paraId="5670E470" w14:textId="77777777" w:rsidTr="00ED1263">
        <w:trPr>
          <w:trHeight w:val="794"/>
        </w:trPr>
        <w:tc>
          <w:tcPr>
            <w:tcW w:w="566" w:type="dxa"/>
          </w:tcPr>
          <w:p w14:paraId="26C2766F" w14:textId="77777777" w:rsidR="00444A74" w:rsidRPr="00444A74" w:rsidRDefault="001F5508" w:rsidP="00444A74">
            <w:pPr>
              <w:adjustRightInd/>
              <w:ind w:left="10"/>
              <w:jc w:val="center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>1</w:t>
            </w:r>
          </w:p>
        </w:tc>
        <w:tc>
          <w:tcPr>
            <w:tcW w:w="5837" w:type="dxa"/>
          </w:tcPr>
          <w:p w14:paraId="0D46499C" w14:textId="77777777" w:rsidR="00444A74" w:rsidRPr="000E08E8" w:rsidRDefault="001F5508" w:rsidP="00444A74">
            <w:pPr>
              <w:adjustRightInd/>
              <w:ind w:left="65" w:right="75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>Кече һәм урта эшкуарлыктан сатып алуларның гомуми күләменең кимендә 40 %ына ирешү</w:t>
            </w:r>
          </w:p>
        </w:tc>
        <w:tc>
          <w:tcPr>
            <w:tcW w:w="4678" w:type="dxa"/>
          </w:tcPr>
          <w:p w14:paraId="5C828B82" w14:textId="77777777" w:rsidR="00444A74" w:rsidRPr="000E08E8" w:rsidRDefault="001F5508" w:rsidP="00444A74">
            <w:pPr>
              <w:adjustRightInd/>
              <w:ind w:left="63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 xml:space="preserve">Кече һәм урта эшкуарлыктан сатып </w:t>
            </w:r>
            <w:r w:rsidRPr="00444A74">
              <w:rPr>
                <w:rFonts w:ascii="Times New Roman" w:hAnsi="Times New Roman" w:cs="Times New Roman"/>
                <w:lang w:val="tt"/>
              </w:rPr>
              <w:t>алуларның гомуми күләменең 40 %ыннан ким түгел</w:t>
            </w:r>
          </w:p>
        </w:tc>
        <w:tc>
          <w:tcPr>
            <w:tcW w:w="1417" w:type="dxa"/>
          </w:tcPr>
          <w:p w14:paraId="172EF004" w14:textId="77777777" w:rsidR="00444A74" w:rsidRPr="00444A74" w:rsidRDefault="001F5508" w:rsidP="00444A74">
            <w:pPr>
              <w:adjustRightInd/>
              <w:ind w:left="63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>ел саен</w:t>
            </w:r>
          </w:p>
        </w:tc>
        <w:tc>
          <w:tcPr>
            <w:tcW w:w="2400" w:type="dxa"/>
          </w:tcPr>
          <w:p w14:paraId="7EBA919B" w14:textId="77777777" w:rsidR="00444A74" w:rsidRPr="00444A74" w:rsidRDefault="001F5508" w:rsidP="00444A74">
            <w:pPr>
              <w:adjustRightInd/>
              <w:rPr>
                <w:rFonts w:ascii="Times New Roman" w:hAnsi="Times New Roman" w:cs="Times New Roman"/>
                <w:lang w:val="ru-RU"/>
              </w:rPr>
            </w:pPr>
            <w:r w:rsidRPr="00444A74">
              <w:rPr>
                <w:rFonts w:ascii="Times New Roman" w:hAnsi="Times New Roman" w:cs="Times New Roman"/>
                <w:bCs/>
                <w:color w:val="0D0D0D" w:themeColor="text1" w:themeTint="F2"/>
                <w:lang w:val="tt"/>
              </w:rPr>
              <w:t>Лениногорск муниципаль районы Башкарма комитетының икътисад бүлеге</w:t>
            </w:r>
          </w:p>
        </w:tc>
      </w:tr>
      <w:tr w:rsidR="00B61A96" w:rsidRPr="000E08E8" w14:paraId="75CB669C" w14:textId="77777777" w:rsidTr="00ED1263">
        <w:trPr>
          <w:trHeight w:val="930"/>
        </w:trPr>
        <w:tc>
          <w:tcPr>
            <w:tcW w:w="566" w:type="dxa"/>
          </w:tcPr>
          <w:p w14:paraId="43F883B7" w14:textId="77777777" w:rsidR="00444A74" w:rsidRPr="00444A74" w:rsidRDefault="001F5508" w:rsidP="00444A74">
            <w:pPr>
              <w:adjustRightInd/>
              <w:spacing w:before="97"/>
              <w:ind w:left="10"/>
              <w:jc w:val="center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>2</w:t>
            </w:r>
          </w:p>
        </w:tc>
        <w:tc>
          <w:tcPr>
            <w:tcW w:w="5837" w:type="dxa"/>
          </w:tcPr>
          <w:p w14:paraId="2FE1D3F4" w14:textId="77777777" w:rsidR="00444A74" w:rsidRPr="000E08E8" w:rsidRDefault="001F5508" w:rsidP="00444A74">
            <w:pPr>
              <w:adjustRightInd/>
              <w:spacing w:line="251" w:lineRule="exact"/>
              <w:ind w:left="65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>Стационар булмаган һәм мобиль сәүдә объектлары һәм алар өчен урыннар санын арттыру</w:t>
            </w:r>
          </w:p>
        </w:tc>
        <w:tc>
          <w:tcPr>
            <w:tcW w:w="4678" w:type="dxa"/>
          </w:tcPr>
          <w:p w14:paraId="058D14A1" w14:textId="77777777" w:rsidR="00444A74" w:rsidRPr="000E08E8" w:rsidRDefault="001F5508" w:rsidP="00444A74">
            <w:pPr>
              <w:adjustRightInd/>
              <w:ind w:left="63" w:right="256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 xml:space="preserve">Стационар булмаган һәм мобиль сәүдә </w:t>
            </w:r>
            <w:r w:rsidRPr="00444A74">
              <w:rPr>
                <w:rFonts w:ascii="Times New Roman" w:hAnsi="Times New Roman" w:cs="Times New Roman"/>
                <w:lang w:val="tt"/>
              </w:rPr>
              <w:t>объектлары һәм алар өчен урыннар санын арттыру</w:t>
            </w:r>
          </w:p>
        </w:tc>
        <w:tc>
          <w:tcPr>
            <w:tcW w:w="1417" w:type="dxa"/>
          </w:tcPr>
          <w:p w14:paraId="105D27ED" w14:textId="77777777" w:rsidR="00444A74" w:rsidRPr="00444A74" w:rsidRDefault="001F5508" w:rsidP="00444A74">
            <w:pPr>
              <w:adjustRightInd/>
              <w:spacing w:before="97" w:line="252" w:lineRule="exact"/>
              <w:ind w:left="63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 xml:space="preserve">2025 елның </w:t>
            </w:r>
          </w:p>
          <w:p w14:paraId="60D174DB" w14:textId="77777777" w:rsidR="00444A74" w:rsidRPr="00444A74" w:rsidRDefault="001F5508" w:rsidP="00444A74">
            <w:pPr>
              <w:adjustRightInd/>
              <w:spacing w:line="252" w:lineRule="exact"/>
              <w:ind w:left="63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>31 декабренә кадәр</w:t>
            </w:r>
          </w:p>
        </w:tc>
        <w:tc>
          <w:tcPr>
            <w:tcW w:w="2400" w:type="dxa"/>
          </w:tcPr>
          <w:p w14:paraId="5E7CD384" w14:textId="77777777" w:rsidR="00444A74" w:rsidRPr="000E08E8" w:rsidRDefault="001F5508" w:rsidP="00444A74">
            <w:pPr>
              <w:adjustRightInd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bCs/>
                <w:color w:val="0D0D0D" w:themeColor="text1" w:themeTint="F2"/>
                <w:lang w:val="tt"/>
              </w:rPr>
              <w:t>«Лениногорск муниципаль районының Мөлкәт һәм җир мөнәсәбәтләре палатасы» МКУ</w:t>
            </w:r>
          </w:p>
        </w:tc>
      </w:tr>
      <w:tr w:rsidR="00B61A96" w:rsidRPr="000E08E8" w14:paraId="4C4F17A1" w14:textId="77777777" w:rsidTr="00ED1263">
        <w:trPr>
          <w:trHeight w:val="1368"/>
        </w:trPr>
        <w:tc>
          <w:tcPr>
            <w:tcW w:w="566" w:type="dxa"/>
          </w:tcPr>
          <w:p w14:paraId="172C71F3" w14:textId="77777777" w:rsidR="00444A74" w:rsidRPr="00444A74" w:rsidRDefault="001F5508" w:rsidP="00444A74">
            <w:pPr>
              <w:adjustRightInd/>
              <w:ind w:left="10"/>
              <w:jc w:val="center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>3</w:t>
            </w:r>
          </w:p>
        </w:tc>
        <w:tc>
          <w:tcPr>
            <w:tcW w:w="5837" w:type="dxa"/>
          </w:tcPr>
          <w:p w14:paraId="1F1C33BF" w14:textId="77777777" w:rsidR="00444A74" w:rsidRPr="000E08E8" w:rsidRDefault="001F5508" w:rsidP="00444A74">
            <w:pPr>
              <w:adjustRightInd/>
              <w:spacing w:line="251" w:lineRule="exact"/>
              <w:ind w:left="65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 xml:space="preserve">Җирле үзидарә органнары функцияләрен һәм вәкаләтләрен гамәлгә ашыру өчен билгеләнгән мөлкәт </w:t>
            </w:r>
            <w:r w:rsidRPr="00444A74">
              <w:rPr>
                <w:rFonts w:ascii="Times New Roman" w:hAnsi="Times New Roman" w:cs="Times New Roman"/>
                <w:lang w:val="tt"/>
              </w:rPr>
              <w:t>категориясенә кертү таләпләренә туры килми торган муниципаль мөлкәт составын күрсәтелгән максатларда билгеләү</w:t>
            </w:r>
          </w:p>
        </w:tc>
        <w:tc>
          <w:tcPr>
            <w:tcW w:w="4678" w:type="dxa"/>
          </w:tcPr>
          <w:p w14:paraId="17F9F045" w14:textId="77777777" w:rsidR="00444A74" w:rsidRPr="000E08E8" w:rsidRDefault="001F5508" w:rsidP="00444A74">
            <w:pPr>
              <w:adjustRightInd/>
              <w:spacing w:line="252" w:lineRule="exact"/>
              <w:ind w:left="63" w:right="145"/>
              <w:jc w:val="both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 xml:space="preserve">Җирле үзидарә органнарының функцияләрен һәм </w:t>
            </w:r>
          </w:p>
          <w:p w14:paraId="6A833E49" w14:textId="77777777" w:rsidR="00444A74" w:rsidRPr="000E08E8" w:rsidRDefault="001F5508" w:rsidP="00444A74">
            <w:pPr>
              <w:adjustRightInd/>
              <w:ind w:left="63" w:right="145"/>
              <w:jc w:val="both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 xml:space="preserve">вәкаләтләрен гамәлгә ашыру өчен билгеләнгән мөлкәт категориясенә кертү таләпләренә туры </w:t>
            </w:r>
            <w:r w:rsidRPr="00444A74">
              <w:rPr>
                <w:rFonts w:ascii="Times New Roman" w:hAnsi="Times New Roman" w:cs="Times New Roman"/>
                <w:lang w:val="tt"/>
              </w:rPr>
              <w:t>килмәгән муниципаль мөлкәт исемлеге төзелде</w:t>
            </w:r>
          </w:p>
        </w:tc>
        <w:tc>
          <w:tcPr>
            <w:tcW w:w="1417" w:type="dxa"/>
          </w:tcPr>
          <w:p w14:paraId="47F971B4" w14:textId="77777777" w:rsidR="00444A74" w:rsidRPr="00444A74" w:rsidRDefault="001F5508" w:rsidP="00444A74">
            <w:pPr>
              <w:adjustRightInd/>
              <w:spacing w:line="252" w:lineRule="exact"/>
              <w:ind w:left="63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 xml:space="preserve">2025 елның </w:t>
            </w:r>
          </w:p>
          <w:p w14:paraId="478BD18B" w14:textId="77777777" w:rsidR="00444A74" w:rsidRPr="00444A74" w:rsidRDefault="001F5508" w:rsidP="00444A74">
            <w:pPr>
              <w:adjustRightInd/>
              <w:spacing w:line="252" w:lineRule="exact"/>
              <w:ind w:left="63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>31 декабренә кадәр</w:t>
            </w:r>
          </w:p>
        </w:tc>
        <w:tc>
          <w:tcPr>
            <w:tcW w:w="2400" w:type="dxa"/>
          </w:tcPr>
          <w:p w14:paraId="59F2A274" w14:textId="77777777" w:rsidR="00444A74" w:rsidRPr="000E08E8" w:rsidRDefault="001F5508" w:rsidP="00444A74">
            <w:pPr>
              <w:adjustRightInd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444A74">
              <w:rPr>
                <w:rFonts w:ascii="Times New Roman" w:hAnsi="Times New Roman" w:cs="Times New Roman"/>
                <w:bCs/>
                <w:color w:val="0D0D0D" w:themeColor="text1" w:themeTint="F2"/>
                <w:lang w:val="tt"/>
              </w:rPr>
              <w:t>«Лениногорск муниципаль районының Мөлкәт һәм җир мөнәсәбәтләре палатасы» МКУ</w:t>
            </w:r>
          </w:p>
        </w:tc>
      </w:tr>
      <w:tr w:rsidR="00B61A96" w:rsidRPr="000E08E8" w14:paraId="2EF5652F" w14:textId="77777777" w:rsidTr="00ED1263">
        <w:trPr>
          <w:trHeight w:val="1013"/>
        </w:trPr>
        <w:tc>
          <w:tcPr>
            <w:tcW w:w="566" w:type="dxa"/>
          </w:tcPr>
          <w:p w14:paraId="114A4D03" w14:textId="77777777" w:rsidR="00444A74" w:rsidRPr="00444A74" w:rsidRDefault="001F5508" w:rsidP="00444A74">
            <w:pPr>
              <w:adjustRightInd/>
              <w:ind w:left="10"/>
              <w:jc w:val="center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>4</w:t>
            </w:r>
          </w:p>
        </w:tc>
        <w:tc>
          <w:tcPr>
            <w:tcW w:w="5837" w:type="dxa"/>
          </w:tcPr>
          <w:p w14:paraId="6A79378A" w14:textId="77777777" w:rsidR="00444A74" w:rsidRPr="000E08E8" w:rsidRDefault="001F5508" w:rsidP="00444A74">
            <w:pPr>
              <w:adjustRightInd/>
              <w:spacing w:line="251" w:lineRule="exact"/>
              <w:ind w:left="65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 xml:space="preserve">Муниципаль мөлкәтне хосусыйлаштыру йә яңадан үзгәртеп кору (мөлкәтнең максатчан билгеләнешен үзгәртү) </w:t>
            </w:r>
          </w:p>
          <w:p w14:paraId="4754A5F7" w14:textId="77777777" w:rsidR="00444A74" w:rsidRPr="000E08E8" w:rsidRDefault="001F5508" w:rsidP="00444A74">
            <w:pPr>
              <w:adjustRightInd/>
              <w:spacing w:line="251" w:lineRule="exact"/>
              <w:ind w:left="65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 xml:space="preserve">җирле үзидарә органнары функцияләрен һәм вәкаләтләрен гамәлгә ашыру өчен билгеләнгән мөлкәт </w:t>
            </w:r>
            <w:r w:rsidRPr="00444A74">
              <w:rPr>
                <w:rFonts w:ascii="Times New Roman" w:hAnsi="Times New Roman" w:cs="Times New Roman"/>
                <w:lang w:val="tt"/>
              </w:rPr>
              <w:lastRenderedPageBreak/>
              <w:t>категориясенә кертү таләпләренә туры килә</w:t>
            </w:r>
          </w:p>
        </w:tc>
        <w:tc>
          <w:tcPr>
            <w:tcW w:w="4678" w:type="dxa"/>
          </w:tcPr>
          <w:p w14:paraId="156FBFBD" w14:textId="77777777" w:rsidR="00444A74" w:rsidRPr="000E08E8" w:rsidRDefault="001F5508" w:rsidP="00444A74">
            <w:pPr>
              <w:adjustRightInd/>
              <w:ind w:left="63" w:right="43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lastRenderedPageBreak/>
              <w:t>Мөмкинлекләргә туры</w:t>
            </w:r>
            <w:r w:rsidRPr="00444A74">
              <w:rPr>
                <w:rFonts w:ascii="Times New Roman" w:hAnsi="Times New Roman" w:cs="Times New Roman"/>
                <w:lang w:val="tt"/>
              </w:rPr>
              <w:t xml:space="preserve"> килми торган муниципаль мөлкәтне хосусыйлаштыру яисә үзгәртеп кору (мөлкәтнең максатчан билгеләнешен үзгәртү) тәэмин ителде</w:t>
            </w:r>
          </w:p>
          <w:p w14:paraId="7B1B6250" w14:textId="77777777" w:rsidR="00444A74" w:rsidRPr="000E08E8" w:rsidRDefault="001F5508" w:rsidP="00444A74">
            <w:pPr>
              <w:adjustRightInd/>
              <w:ind w:left="63" w:right="43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 xml:space="preserve">җирле үзидарә органнарының </w:t>
            </w:r>
            <w:r w:rsidRPr="00444A74">
              <w:rPr>
                <w:rFonts w:ascii="Times New Roman" w:hAnsi="Times New Roman" w:cs="Times New Roman"/>
                <w:lang w:val="tt"/>
              </w:rPr>
              <w:lastRenderedPageBreak/>
              <w:t xml:space="preserve">функцияләрен һәм вәкаләтләрен </w:t>
            </w:r>
          </w:p>
          <w:p w14:paraId="6497A127" w14:textId="77777777" w:rsidR="00444A74" w:rsidRPr="00444A74" w:rsidRDefault="001F5508" w:rsidP="00444A74">
            <w:pPr>
              <w:adjustRightInd/>
              <w:ind w:left="63" w:right="43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>гамәлгә ашыру өчен билгеләнгән милек категориясенә кертү</w:t>
            </w:r>
          </w:p>
        </w:tc>
        <w:tc>
          <w:tcPr>
            <w:tcW w:w="1417" w:type="dxa"/>
          </w:tcPr>
          <w:p w14:paraId="280E4C61" w14:textId="77777777" w:rsidR="00444A74" w:rsidRPr="00444A74" w:rsidRDefault="001F5508" w:rsidP="00444A74">
            <w:pPr>
              <w:adjustRightInd/>
              <w:spacing w:line="252" w:lineRule="exact"/>
              <w:ind w:left="63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lastRenderedPageBreak/>
              <w:t xml:space="preserve">2025 елның </w:t>
            </w:r>
          </w:p>
          <w:p w14:paraId="4794FEB4" w14:textId="77777777" w:rsidR="00444A74" w:rsidRPr="00444A74" w:rsidRDefault="001F5508" w:rsidP="00444A74">
            <w:pPr>
              <w:adjustRightInd/>
              <w:spacing w:line="252" w:lineRule="exact"/>
              <w:ind w:left="63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  <w:lang w:val="tt"/>
              </w:rPr>
              <w:t>31 д</w:t>
            </w:r>
            <w:r w:rsidRPr="00444A74">
              <w:rPr>
                <w:rFonts w:ascii="Times New Roman" w:hAnsi="Times New Roman" w:cs="Times New Roman"/>
                <w:lang w:val="tt"/>
              </w:rPr>
              <w:t>екабренә кадәр</w:t>
            </w:r>
          </w:p>
          <w:p w14:paraId="39FC1496" w14:textId="77777777" w:rsidR="00444A74" w:rsidRPr="00444A74" w:rsidRDefault="00444A74" w:rsidP="00444A74">
            <w:pPr>
              <w:adjustRightInd/>
              <w:rPr>
                <w:rFonts w:ascii="Times New Roman" w:hAnsi="Times New Roman" w:cs="Times New Roman"/>
              </w:rPr>
            </w:pPr>
          </w:p>
          <w:p w14:paraId="16AE8620" w14:textId="77777777" w:rsidR="00444A74" w:rsidRPr="00444A74" w:rsidRDefault="00444A74" w:rsidP="00444A74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14:paraId="405C45FA" w14:textId="77777777" w:rsidR="00444A74" w:rsidRPr="000E08E8" w:rsidRDefault="001F5508" w:rsidP="00444A74">
            <w:pPr>
              <w:adjustRightInd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444A74">
              <w:rPr>
                <w:rFonts w:ascii="Times New Roman" w:hAnsi="Times New Roman" w:cs="Times New Roman"/>
                <w:bCs/>
                <w:color w:val="0D0D0D" w:themeColor="text1" w:themeTint="F2"/>
                <w:lang w:val="tt"/>
              </w:rPr>
              <w:t xml:space="preserve">«Лениногорск муниципаль районының Мөлкәт һәм җир мөнәсәбәтләре </w:t>
            </w:r>
            <w:r w:rsidRPr="00444A74">
              <w:rPr>
                <w:rFonts w:ascii="Times New Roman" w:hAnsi="Times New Roman" w:cs="Times New Roman"/>
                <w:bCs/>
                <w:color w:val="0D0D0D" w:themeColor="text1" w:themeTint="F2"/>
                <w:lang w:val="tt"/>
              </w:rPr>
              <w:lastRenderedPageBreak/>
              <w:t>палатасы» МКУ</w:t>
            </w:r>
          </w:p>
        </w:tc>
      </w:tr>
    </w:tbl>
    <w:p w14:paraId="17377BFE" w14:textId="77777777" w:rsidR="00444A74" w:rsidRPr="000E08E8" w:rsidRDefault="00444A74" w:rsidP="00444A74">
      <w:pPr>
        <w:adjustRightInd/>
        <w:spacing w:before="89" w:line="259" w:lineRule="auto"/>
        <w:ind w:right="629"/>
        <w:jc w:val="both"/>
        <w:rPr>
          <w:rFonts w:ascii="Calibri" w:eastAsia="Calibri" w:hAnsi="Calibri" w:cs="Calibri"/>
          <w:b/>
          <w:bCs/>
          <w:sz w:val="22"/>
          <w:szCs w:val="22"/>
          <w:lang w:val="en-US" w:eastAsia="en-US"/>
        </w:rPr>
      </w:pPr>
    </w:p>
    <w:p w14:paraId="7E00F602" w14:textId="286425AF" w:rsidR="001236D1" w:rsidRPr="000E08E8" w:rsidRDefault="001236D1" w:rsidP="009B1C77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sectPr w:rsidR="001236D1" w:rsidRPr="000E08E8" w:rsidSect="00ED1263">
      <w:pgSz w:w="16840" w:h="11910" w:orient="landscape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ED744" w14:textId="77777777" w:rsidR="001F5508" w:rsidRDefault="001F5508">
      <w:r>
        <w:separator/>
      </w:r>
    </w:p>
  </w:endnote>
  <w:endnote w:type="continuationSeparator" w:id="0">
    <w:p w14:paraId="6EDE172A" w14:textId="77777777" w:rsidR="001F5508" w:rsidRDefault="001F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A35EE" w14:textId="77777777" w:rsidR="001F5508" w:rsidRDefault="001F5508">
      <w:r>
        <w:separator/>
      </w:r>
    </w:p>
  </w:footnote>
  <w:footnote w:type="continuationSeparator" w:id="0">
    <w:p w14:paraId="37AC7264" w14:textId="77777777" w:rsidR="001F5508" w:rsidRDefault="001F5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849C" w14:textId="7A1544BF" w:rsidR="006C7B27" w:rsidRDefault="006C7B27">
    <w:pPr>
      <w:pStyle w:val="1"/>
      <w:jc w:val="center"/>
    </w:pPr>
  </w:p>
  <w:p w14:paraId="5B4619C1" w14:textId="77777777" w:rsidR="006C7B27" w:rsidRDefault="006C7B27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3504" w14:textId="77777777" w:rsidR="001236D1" w:rsidRDefault="001236D1">
    <w:pPr>
      <w:pStyle w:val="a7"/>
      <w:jc w:val="center"/>
    </w:pPr>
  </w:p>
  <w:p w14:paraId="5B48B3FE" w14:textId="77777777" w:rsidR="001236D1" w:rsidRDefault="001236D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0C"/>
    <w:rsid w:val="000002E8"/>
    <w:rsid w:val="00055572"/>
    <w:rsid w:val="0006544D"/>
    <w:rsid w:val="00084C1A"/>
    <w:rsid w:val="000A554E"/>
    <w:rsid w:val="000B6EFE"/>
    <w:rsid w:val="000E08E8"/>
    <w:rsid w:val="001236D1"/>
    <w:rsid w:val="0016745E"/>
    <w:rsid w:val="0017062C"/>
    <w:rsid w:val="001C415A"/>
    <w:rsid w:val="001C53FA"/>
    <w:rsid w:val="001F5508"/>
    <w:rsid w:val="002411A7"/>
    <w:rsid w:val="00262E18"/>
    <w:rsid w:val="002666EC"/>
    <w:rsid w:val="00273143"/>
    <w:rsid w:val="003014B0"/>
    <w:rsid w:val="00306A2F"/>
    <w:rsid w:val="00312F6D"/>
    <w:rsid w:val="003315F0"/>
    <w:rsid w:val="003701AB"/>
    <w:rsid w:val="00397219"/>
    <w:rsid w:val="0039733D"/>
    <w:rsid w:val="003A4DC3"/>
    <w:rsid w:val="003C5136"/>
    <w:rsid w:val="004371F8"/>
    <w:rsid w:val="00444A74"/>
    <w:rsid w:val="004558AF"/>
    <w:rsid w:val="00495C1D"/>
    <w:rsid w:val="004B329A"/>
    <w:rsid w:val="004B3420"/>
    <w:rsid w:val="004D138B"/>
    <w:rsid w:val="005208E0"/>
    <w:rsid w:val="00527F3E"/>
    <w:rsid w:val="005342AE"/>
    <w:rsid w:val="005411A7"/>
    <w:rsid w:val="005874FD"/>
    <w:rsid w:val="005B2942"/>
    <w:rsid w:val="0061260C"/>
    <w:rsid w:val="00617678"/>
    <w:rsid w:val="00632FE8"/>
    <w:rsid w:val="00643B29"/>
    <w:rsid w:val="0068104D"/>
    <w:rsid w:val="00683E73"/>
    <w:rsid w:val="006A188D"/>
    <w:rsid w:val="006C7B27"/>
    <w:rsid w:val="006E2333"/>
    <w:rsid w:val="00703885"/>
    <w:rsid w:val="00760B39"/>
    <w:rsid w:val="007A5055"/>
    <w:rsid w:val="007C4912"/>
    <w:rsid w:val="00806043"/>
    <w:rsid w:val="00823177"/>
    <w:rsid w:val="00835DB3"/>
    <w:rsid w:val="008412A5"/>
    <w:rsid w:val="008545A1"/>
    <w:rsid w:val="008834CF"/>
    <w:rsid w:val="00927486"/>
    <w:rsid w:val="00934D9A"/>
    <w:rsid w:val="00940399"/>
    <w:rsid w:val="00981B0E"/>
    <w:rsid w:val="009B1C77"/>
    <w:rsid w:val="009E092D"/>
    <w:rsid w:val="009F7BED"/>
    <w:rsid w:val="00A115F9"/>
    <w:rsid w:val="00AD6A09"/>
    <w:rsid w:val="00AF2A2D"/>
    <w:rsid w:val="00B26885"/>
    <w:rsid w:val="00B61A96"/>
    <w:rsid w:val="00B945E0"/>
    <w:rsid w:val="00BF6C3C"/>
    <w:rsid w:val="00CB7D57"/>
    <w:rsid w:val="00D00B3E"/>
    <w:rsid w:val="00D14D0C"/>
    <w:rsid w:val="00D95C7B"/>
    <w:rsid w:val="00D97EA3"/>
    <w:rsid w:val="00DF5DEC"/>
    <w:rsid w:val="00E0082E"/>
    <w:rsid w:val="00E76357"/>
    <w:rsid w:val="00E964B0"/>
    <w:rsid w:val="00ED1263"/>
    <w:rsid w:val="00F83368"/>
    <w:rsid w:val="00F84AE4"/>
    <w:rsid w:val="00FA737A"/>
    <w:rsid w:val="00F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A535D"/>
  <w15:docId w15:val="{8FDDE181-4122-44F3-A214-8F85133E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customStyle="1" w:styleId="1">
    <w:name w:val="Верхний колонтитул1"/>
    <w:basedOn w:val="a"/>
    <w:next w:val="a7"/>
    <w:link w:val="a8"/>
    <w:uiPriority w:val="99"/>
    <w:unhideWhenUsed/>
    <w:rsid w:val="001236D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1"/>
    <w:uiPriority w:val="99"/>
    <w:rsid w:val="001236D1"/>
  </w:style>
  <w:style w:type="paragraph" w:styleId="a7">
    <w:name w:val="header"/>
    <w:basedOn w:val="a"/>
    <w:link w:val="10"/>
    <w:uiPriority w:val="99"/>
    <w:unhideWhenUsed/>
    <w:rsid w:val="001236D1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7"/>
    <w:uiPriority w:val="99"/>
    <w:rsid w:val="001236D1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236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36D1"/>
    <w:rPr>
      <w:rFonts w:ascii="Arial" w:eastAsia="Times New Roman" w:hAnsi="Arial" w:cs="Arial"/>
      <w:sz w:val="24"/>
      <w:szCs w:val="24"/>
    </w:rPr>
  </w:style>
  <w:style w:type="table" w:customStyle="1" w:styleId="TableNormal0">
    <w:name w:val="Table Normal_0"/>
    <w:uiPriority w:val="2"/>
    <w:semiHidden/>
    <w:unhideWhenUsed/>
    <w:qFormat/>
    <w:rsid w:val="00444A7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ИКМО</dc:creator>
  <cp:lastModifiedBy>Отдел СМИ</cp:lastModifiedBy>
  <cp:revision>2</cp:revision>
  <cp:lastPrinted>2024-01-22T11:04:00Z</cp:lastPrinted>
  <dcterms:created xsi:type="dcterms:W3CDTF">2024-01-30T10:49:00Z</dcterms:created>
  <dcterms:modified xsi:type="dcterms:W3CDTF">2024-01-30T10:49:00Z</dcterms:modified>
</cp:coreProperties>
</file>