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FBB7" w14:textId="77777777" w:rsidR="00A01ED3" w:rsidRDefault="00A01ED3" w:rsidP="00A01ED3">
      <w:pPr>
        <w:ind w:right="-1"/>
        <w:rPr>
          <w:rFonts w:eastAsia="Calibri"/>
          <w:szCs w:val="28"/>
          <w:lang w:val="tt" w:eastAsia="en-US"/>
        </w:rPr>
      </w:pPr>
      <w:r w:rsidRPr="0086514E">
        <w:rPr>
          <w:rFonts w:eastAsia="Calibri"/>
          <w:szCs w:val="28"/>
          <w:lang w:val="tt" w:eastAsia="en-US"/>
        </w:rPr>
        <w:t>ПОСТАНОВЛЕНИЕ</w:t>
      </w:r>
      <w:r>
        <w:rPr>
          <w:rFonts w:eastAsia="Calibri"/>
          <w:szCs w:val="28"/>
          <w:lang w:val="tt" w:eastAsia="en-US"/>
        </w:rPr>
        <w:t xml:space="preserve">                                                               </w:t>
      </w:r>
      <w:r w:rsidRPr="00A01ED3">
        <w:rPr>
          <w:rFonts w:eastAsia="Calibri"/>
          <w:szCs w:val="28"/>
          <w:lang w:val="tt" w:eastAsia="en-US"/>
        </w:rPr>
        <w:t>КАРА</w:t>
      </w:r>
      <w:r>
        <w:rPr>
          <w:rFonts w:eastAsia="Calibri"/>
          <w:szCs w:val="28"/>
          <w:lang w:val="tt" w:eastAsia="en-US"/>
        </w:rPr>
        <w:t>Р</w:t>
      </w:r>
    </w:p>
    <w:p w14:paraId="1AA4A4EE" w14:textId="77777777" w:rsidR="00A01ED3" w:rsidRDefault="00A01ED3" w:rsidP="00A01ED3">
      <w:pPr>
        <w:ind w:right="-1"/>
        <w:rPr>
          <w:rFonts w:eastAsia="Calibri"/>
          <w:szCs w:val="28"/>
          <w:lang w:val="tt" w:eastAsia="en-US"/>
        </w:rPr>
      </w:pPr>
    </w:p>
    <w:p w14:paraId="7DC9B747" w14:textId="77777777" w:rsidR="00A01ED3" w:rsidRDefault="00A01ED3" w:rsidP="00A01ED3">
      <w:pPr>
        <w:ind w:right="-1"/>
        <w:rPr>
          <w:rFonts w:eastAsia="Calibri"/>
          <w:szCs w:val="28"/>
          <w:lang w:val="tt" w:eastAsia="en-US"/>
        </w:rPr>
      </w:pPr>
    </w:p>
    <w:p w14:paraId="5C8A7618" w14:textId="0FF99129" w:rsidR="0031019B" w:rsidRPr="0086514E" w:rsidRDefault="00A01ED3" w:rsidP="00A01ED3">
      <w:pPr>
        <w:ind w:right="-1"/>
        <w:rPr>
          <w:rFonts w:eastAsia="Calibri"/>
          <w:szCs w:val="28"/>
          <w:lang w:eastAsia="en-US"/>
        </w:rPr>
      </w:pPr>
      <w:r w:rsidRPr="0086514E">
        <w:rPr>
          <w:rFonts w:eastAsia="Calibri"/>
          <w:szCs w:val="28"/>
          <w:lang w:val="tt" w:eastAsia="en-US"/>
        </w:rPr>
        <w:t xml:space="preserve"> </w:t>
      </w:r>
      <w:r w:rsidRPr="0086514E">
        <w:rPr>
          <w:rFonts w:eastAsia="Calibri"/>
          <w:szCs w:val="28"/>
          <w:lang w:val="tt" w:eastAsia="en-US"/>
        </w:rPr>
        <w:t>2023</w:t>
      </w:r>
      <w:r>
        <w:rPr>
          <w:rFonts w:eastAsia="Calibri"/>
          <w:szCs w:val="28"/>
          <w:lang w:val="tt" w:eastAsia="en-US"/>
        </w:rPr>
        <w:t xml:space="preserve"> </w:t>
      </w:r>
      <w:r w:rsidRPr="0086514E">
        <w:rPr>
          <w:rFonts w:eastAsia="Calibri"/>
          <w:szCs w:val="28"/>
          <w:lang w:val="tt" w:eastAsia="en-US"/>
        </w:rPr>
        <w:t>елның 2 июне</w:t>
      </w:r>
      <w:r w:rsidRPr="0086514E">
        <w:rPr>
          <w:rFonts w:eastAsia="Calibri"/>
          <w:szCs w:val="28"/>
          <w:lang w:val="tt" w:eastAsia="en-US"/>
        </w:rPr>
        <w:t xml:space="preserve">         </w:t>
      </w:r>
      <w:r>
        <w:rPr>
          <w:rFonts w:eastAsia="Calibri"/>
          <w:szCs w:val="28"/>
          <w:lang w:val="tt" w:eastAsia="en-US"/>
        </w:rPr>
        <w:t xml:space="preserve">                                                               </w:t>
      </w:r>
      <w:r w:rsidRPr="0086514E">
        <w:rPr>
          <w:rFonts w:eastAsia="Calibri"/>
          <w:szCs w:val="28"/>
          <w:lang w:val="tt" w:eastAsia="en-US"/>
        </w:rPr>
        <w:t>№ 1477</w:t>
      </w:r>
    </w:p>
    <w:p w14:paraId="46E15C65" w14:textId="77777777" w:rsidR="0031019B" w:rsidRPr="0086514E" w:rsidRDefault="0031019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EA27B30" w14:textId="77777777" w:rsidR="0031019B" w:rsidRPr="0086514E" w:rsidRDefault="0031019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A5CBAE0" w14:textId="6041E9C3" w:rsidR="0031019B" w:rsidRPr="0086514E" w:rsidRDefault="00A01ED3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6514E">
        <w:rPr>
          <w:rFonts w:eastAsia="Calibri"/>
          <w:szCs w:val="28"/>
          <w:lang w:val="tt" w:eastAsia="en-US"/>
        </w:rPr>
        <w:t xml:space="preserve">                                                              </w:t>
      </w:r>
    </w:p>
    <w:p w14:paraId="43D4C3A9" w14:textId="77777777" w:rsidR="00AB7160" w:rsidRPr="0086514E" w:rsidRDefault="00AB7160" w:rsidP="00DB4A15">
      <w:pPr>
        <w:rPr>
          <w:rFonts w:cs="Times New Roman"/>
          <w:b/>
          <w:szCs w:val="28"/>
        </w:rPr>
      </w:pPr>
    </w:p>
    <w:p w14:paraId="5462F0E7" w14:textId="326BD89C" w:rsidR="00AB7160" w:rsidRPr="0086514E" w:rsidRDefault="00AB7160" w:rsidP="00DB4A15">
      <w:pPr>
        <w:rPr>
          <w:rFonts w:cs="Times New Roman"/>
          <w:b/>
          <w:szCs w:val="28"/>
        </w:rPr>
      </w:pPr>
    </w:p>
    <w:p w14:paraId="6E61AE9D" w14:textId="3474A3FD" w:rsidR="0031019B" w:rsidRPr="0086514E" w:rsidRDefault="0031019B" w:rsidP="00DB4A15">
      <w:pPr>
        <w:rPr>
          <w:rFonts w:cs="Times New Roman"/>
          <w:b/>
          <w:szCs w:val="28"/>
        </w:rPr>
      </w:pPr>
    </w:p>
    <w:p w14:paraId="79C3EA90" w14:textId="6C0A855B" w:rsidR="0031019B" w:rsidRDefault="0031019B" w:rsidP="00DB4A15">
      <w:pPr>
        <w:rPr>
          <w:rFonts w:cs="Times New Roman"/>
          <w:b/>
          <w:szCs w:val="28"/>
        </w:rPr>
      </w:pPr>
    </w:p>
    <w:p w14:paraId="6AAAD563" w14:textId="77777777" w:rsidR="0031019B" w:rsidRDefault="0031019B" w:rsidP="00DB4A15">
      <w:pPr>
        <w:rPr>
          <w:rFonts w:cs="Times New Roman"/>
          <w:b/>
          <w:szCs w:val="28"/>
        </w:rPr>
      </w:pPr>
    </w:p>
    <w:tbl>
      <w:tblPr>
        <w:tblStyle w:val="a6"/>
        <w:tblW w:w="11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819"/>
      </w:tblGrid>
      <w:tr w:rsidR="00EE3775" w14:paraId="4821EC95" w14:textId="77777777" w:rsidTr="0031019B">
        <w:tc>
          <w:tcPr>
            <w:tcW w:w="6345" w:type="dxa"/>
          </w:tcPr>
          <w:p w14:paraId="51F65C88" w14:textId="77777777" w:rsidR="00AB7160" w:rsidRDefault="00AB7160" w:rsidP="00D50C8F">
            <w:pPr>
              <w:tabs>
                <w:tab w:val="left" w:pos="5670"/>
              </w:tabs>
              <w:ind w:right="37"/>
              <w:jc w:val="both"/>
              <w:outlineLvl w:val="3"/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7348BA59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22DC5B07" w14:textId="6E59CF16" w:rsidR="00D50C8F" w:rsidRPr="00D50C8F" w:rsidRDefault="00A01ED3" w:rsidP="00A01ED3">
      <w:pPr>
        <w:jc w:val="both"/>
        <w:rPr>
          <w:rFonts w:cs="Times New Roman"/>
          <w:color w:val="000000"/>
          <w:szCs w:val="28"/>
        </w:rPr>
      </w:pPr>
      <w:r>
        <w:rPr>
          <w:rFonts w:cs="Times New Roman"/>
          <w:bCs/>
          <w:color w:val="000000"/>
          <w:szCs w:val="28"/>
          <w:lang w:val="tt"/>
        </w:rPr>
        <w:t>«</w:t>
      </w:r>
      <w:r w:rsidRPr="00D50C8F">
        <w:rPr>
          <w:rFonts w:cs="Times New Roman"/>
          <w:bCs/>
          <w:color w:val="000000"/>
          <w:szCs w:val="28"/>
          <w:lang w:val="tt"/>
        </w:rPr>
        <w:t>2021-2025 елларга Лениногорск муниципаль районында физик культура һәм спортны үстерү</w:t>
      </w:r>
      <w:r>
        <w:rPr>
          <w:rFonts w:cs="Times New Roman"/>
          <w:bCs/>
          <w:color w:val="000000"/>
          <w:szCs w:val="28"/>
          <w:lang w:val="tt"/>
        </w:rPr>
        <w:t>»</w:t>
      </w:r>
      <w:r w:rsidRPr="00D50C8F">
        <w:rPr>
          <w:rFonts w:cs="Times New Roman"/>
          <w:bCs/>
          <w:color w:val="000000"/>
          <w:szCs w:val="28"/>
          <w:lang w:val="tt"/>
        </w:rPr>
        <w:t xml:space="preserve"> программасын раслау турында</w:t>
      </w:r>
      <w:r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bCs/>
          <w:color w:val="000000"/>
          <w:szCs w:val="28"/>
          <w:lang w:val="tt"/>
        </w:rPr>
        <w:t xml:space="preserve"> </w:t>
      </w:r>
      <w:r w:rsidRPr="00D50C8F">
        <w:rPr>
          <w:rFonts w:cs="Times New Roman"/>
          <w:bCs/>
          <w:color w:val="000000"/>
          <w:szCs w:val="28"/>
          <w:lang w:val="tt"/>
        </w:rPr>
        <w:t xml:space="preserve">2020 елның 18 ноябрендәге 1349 номерлы </w:t>
      </w:r>
      <w:r>
        <w:rPr>
          <w:rFonts w:cs="Times New Roman"/>
          <w:bCs/>
          <w:color w:val="000000"/>
          <w:szCs w:val="28"/>
          <w:lang w:val="tt"/>
        </w:rPr>
        <w:t>«</w:t>
      </w:r>
      <w:r w:rsidRPr="00D50C8F">
        <w:rPr>
          <w:rFonts w:cs="Times New Roman"/>
          <w:bCs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bCs/>
          <w:color w:val="000000"/>
          <w:szCs w:val="28"/>
          <w:lang w:val="tt"/>
        </w:rPr>
        <w:t>»</w:t>
      </w:r>
      <w:r w:rsidRPr="00D50C8F">
        <w:rPr>
          <w:rFonts w:cs="Times New Roman"/>
          <w:bCs/>
          <w:color w:val="000000"/>
          <w:szCs w:val="28"/>
          <w:lang w:val="tt"/>
        </w:rPr>
        <w:t>муниципаль берәмлеге Башкарма комитеты карары белән расланган</w:t>
      </w:r>
      <w:r>
        <w:rPr>
          <w:rFonts w:cs="Times New Roman"/>
          <w:bCs/>
          <w:color w:val="000000"/>
          <w:szCs w:val="28"/>
          <w:lang w:val="tt"/>
        </w:rPr>
        <w:t xml:space="preserve"> </w:t>
      </w:r>
      <w:r>
        <w:rPr>
          <w:rFonts w:cs="Times New Roman"/>
          <w:bCs/>
          <w:color w:val="000000"/>
          <w:szCs w:val="28"/>
          <w:lang w:val="tt"/>
        </w:rPr>
        <w:t>«</w:t>
      </w:r>
      <w:r w:rsidRPr="00D50C8F">
        <w:rPr>
          <w:rFonts w:cs="Times New Roman"/>
          <w:bCs/>
          <w:color w:val="000000"/>
          <w:szCs w:val="28"/>
          <w:lang w:val="tt"/>
        </w:rPr>
        <w:t>2021-2</w:t>
      </w:r>
      <w:r w:rsidRPr="00D50C8F">
        <w:rPr>
          <w:rFonts w:cs="Times New Roman"/>
          <w:bCs/>
          <w:color w:val="000000"/>
          <w:szCs w:val="28"/>
          <w:lang w:val="tt"/>
        </w:rPr>
        <w:t>025 елларга Лениногорск муниципаль районында физик культура һәм спортны үстерү</w:t>
      </w:r>
      <w:r>
        <w:rPr>
          <w:rFonts w:cs="Times New Roman"/>
          <w:bCs/>
          <w:color w:val="000000"/>
          <w:szCs w:val="28"/>
          <w:lang w:val="tt"/>
        </w:rPr>
        <w:t>»</w:t>
      </w:r>
      <w:r w:rsidRPr="00D50C8F">
        <w:rPr>
          <w:rFonts w:cs="Times New Roman"/>
          <w:bCs/>
          <w:color w:val="000000"/>
          <w:szCs w:val="28"/>
          <w:lang w:val="tt"/>
        </w:rPr>
        <w:t xml:space="preserve"> программасына үзгәрешләр кертү турында</w:t>
      </w:r>
      <w:r>
        <w:rPr>
          <w:rFonts w:cs="Times New Roman"/>
          <w:bCs/>
          <w:color w:val="000000"/>
          <w:szCs w:val="28"/>
          <w:lang w:val="tt"/>
        </w:rPr>
        <w:t xml:space="preserve"> </w:t>
      </w:r>
      <w:r w:rsidRPr="00D50C8F">
        <w:rPr>
          <w:rFonts w:cs="Times New Roman"/>
          <w:bCs/>
          <w:color w:val="000000"/>
          <w:szCs w:val="28"/>
          <w:lang w:val="tt"/>
        </w:rPr>
        <w:t>(Лениногорск муниципаль районы муниципаль берәмлеге Башкарма комитетының 12.03.2021 № 211, 10.06.2021 № 560, 07.12.2021 № 1136, 16.12.2021</w:t>
      </w:r>
      <w:r w:rsidRPr="00D50C8F">
        <w:rPr>
          <w:rFonts w:cs="Times New Roman"/>
          <w:bCs/>
          <w:color w:val="000000"/>
          <w:szCs w:val="28"/>
          <w:lang w:val="tt"/>
        </w:rPr>
        <w:t xml:space="preserve"> № 1177, 30.12.2021 № 1270, 25.07.2022 №687, 21.02.2023 №662  карарлары белән кертелгән үзгәрешләрне исәпкә алып) </w:t>
      </w:r>
    </w:p>
    <w:p w14:paraId="1EA588DD" w14:textId="77777777" w:rsidR="00D50C8F" w:rsidRDefault="00D50C8F" w:rsidP="0031019B">
      <w:pPr>
        <w:ind w:firstLine="709"/>
        <w:jc w:val="both"/>
        <w:rPr>
          <w:rFonts w:cs="Times New Roman"/>
          <w:color w:val="000000"/>
          <w:szCs w:val="28"/>
        </w:rPr>
      </w:pPr>
    </w:p>
    <w:p w14:paraId="079BE3D7" w14:textId="77777777" w:rsidR="00D50C8F" w:rsidRDefault="00D50C8F" w:rsidP="0031019B">
      <w:pPr>
        <w:ind w:firstLine="709"/>
        <w:jc w:val="both"/>
        <w:rPr>
          <w:rFonts w:cs="Times New Roman"/>
          <w:color w:val="000000"/>
          <w:szCs w:val="28"/>
        </w:rPr>
      </w:pPr>
    </w:p>
    <w:p w14:paraId="71CC231D" w14:textId="69CEE66A" w:rsidR="00A71DB0" w:rsidRPr="00F438A5" w:rsidRDefault="00A01ED3" w:rsidP="0031019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val="tt"/>
        </w:rPr>
        <w:t>«</w:t>
      </w:r>
      <w:r w:rsidRPr="00F438A5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муниципаль берәмлеге Советының </w:t>
      </w:r>
      <w:r>
        <w:rPr>
          <w:rFonts w:cs="Times New Roman"/>
          <w:color w:val="000000"/>
          <w:szCs w:val="28"/>
          <w:lang w:val="tt"/>
        </w:rPr>
        <w:t>«</w:t>
      </w:r>
      <w:r w:rsidRPr="00F438A5">
        <w:rPr>
          <w:rFonts w:cs="Times New Roman"/>
          <w:color w:val="000000"/>
          <w:szCs w:val="28"/>
          <w:lang w:val="tt"/>
        </w:rPr>
        <w:t>2023 елга, 2024 һәм 2025 еллар план чорына Татарстан Республикасы Лениногор</w:t>
      </w:r>
      <w:r w:rsidRPr="00F438A5">
        <w:rPr>
          <w:rFonts w:cs="Times New Roman"/>
          <w:color w:val="000000"/>
          <w:szCs w:val="28"/>
          <w:lang w:val="tt"/>
        </w:rPr>
        <w:t>ск муниципаль районы бюджеты турында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2022 елның 15 декабрендәге 69 номерлы карарын үтәү йөзеннән, Татарстан Республикасы </w:t>
      </w:r>
      <w:r>
        <w:rPr>
          <w:rFonts w:cs="Times New Roman"/>
          <w:color w:val="000000"/>
          <w:szCs w:val="28"/>
          <w:lang w:val="tt"/>
        </w:rPr>
        <w:t>«</w:t>
      </w:r>
      <w:r w:rsidRPr="00F438A5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 КАРАР БИРӘ:</w:t>
      </w:r>
    </w:p>
    <w:p w14:paraId="3F6C03C0" w14:textId="1DE2EB1E" w:rsidR="000E3E3B" w:rsidRPr="00A01ED3" w:rsidRDefault="00A01ED3" w:rsidP="0031019B">
      <w:pPr>
        <w:tabs>
          <w:tab w:val="left" w:pos="5670"/>
        </w:tabs>
        <w:ind w:firstLine="709"/>
        <w:jc w:val="both"/>
        <w:outlineLvl w:val="3"/>
        <w:rPr>
          <w:rFonts w:cs="Times New Roman"/>
          <w:color w:val="000000"/>
          <w:szCs w:val="28"/>
          <w:lang w:val="tt"/>
        </w:rPr>
      </w:pPr>
      <w:r w:rsidRPr="000E3E3B">
        <w:rPr>
          <w:rFonts w:cs="Times New Roman"/>
          <w:color w:val="000000"/>
          <w:szCs w:val="28"/>
          <w:lang w:val="tt"/>
        </w:rPr>
        <w:t xml:space="preserve">1.  </w:t>
      </w: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>2021-2025 елларга Лениногорск муниципаль район</w:t>
      </w:r>
      <w:r w:rsidRPr="000E3E3B">
        <w:rPr>
          <w:rFonts w:cs="Times New Roman"/>
          <w:color w:val="000000"/>
          <w:szCs w:val="28"/>
          <w:lang w:val="tt"/>
        </w:rPr>
        <w:t>ында физик культура һәм спортны үстерү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 xml:space="preserve"> программасын раслау турында</w:t>
      </w:r>
      <w:r w:rsidRPr="00A01ED3">
        <w:rPr>
          <w:rFonts w:cs="Times New Roman"/>
          <w:bCs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</w:t>
      </w:r>
      <w:r w:rsidRPr="000E3E3B">
        <w:rPr>
          <w:rFonts w:cs="Times New Roman"/>
          <w:color w:val="000000"/>
          <w:szCs w:val="28"/>
          <w:lang w:val="tt"/>
        </w:rPr>
        <w:t xml:space="preserve">2020 елның 18 ноябрендәге 1349 номерлы </w:t>
      </w: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>муниципаль берәмлеге Башкарма комитеты карары белән расланган</w:t>
      </w:r>
      <w:r>
        <w:rPr>
          <w:rFonts w:cs="Times New Roman"/>
          <w:color w:val="000000"/>
          <w:szCs w:val="28"/>
          <w:lang w:val="tt"/>
        </w:rPr>
        <w:t xml:space="preserve"> </w:t>
      </w:r>
      <w:r w:rsidRPr="00A01ED3">
        <w:rPr>
          <w:rFonts w:cs="Times New Roman"/>
          <w:bCs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>2021-2025 елларга Лениногорск муниципаль районында физ</w:t>
      </w:r>
      <w:r w:rsidRPr="000E3E3B">
        <w:rPr>
          <w:rFonts w:cs="Times New Roman"/>
          <w:color w:val="000000"/>
          <w:szCs w:val="28"/>
          <w:lang w:val="tt"/>
        </w:rPr>
        <w:t>ик культура һәм спортны үстерү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 xml:space="preserve"> программасына (Лениногорск муниципаль районы муниципаль берәмлеге Башкарма комитетының 12.03.2021 № 211, 10.06.2021 № 560, 07.12.2021 № 1136, 16.12.2021 № 1177, 30.12.2021 № 1270, 25.07.2022 №687, 21.02.2023 №662  карарлары </w:t>
      </w:r>
      <w:r w:rsidRPr="000E3E3B">
        <w:rPr>
          <w:rFonts w:cs="Times New Roman"/>
          <w:color w:val="000000"/>
          <w:szCs w:val="28"/>
          <w:lang w:val="tt"/>
        </w:rPr>
        <w:t>белән кертелгән үзгәрешләрне исәпкә алып) түбәндәге үзгәрешләр кертергә:</w:t>
      </w:r>
    </w:p>
    <w:p w14:paraId="2DD8AC1A" w14:textId="77777777" w:rsidR="000E3E3B" w:rsidRDefault="00A01ED3" w:rsidP="000E3E3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  <w:lang w:val="tt"/>
        </w:rPr>
        <w:t>Программа паспортында:</w:t>
      </w:r>
    </w:p>
    <w:p w14:paraId="6C4F22A1" w14:textId="46778A47" w:rsidR="009658E3" w:rsidRDefault="00A01ED3" w:rsidP="000E3E3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Программага 3 нче кушымтаны V һәм VI пунктлары яңа редакциядә үзгәртергә.</w:t>
      </w:r>
    </w:p>
    <w:p w14:paraId="730093B7" w14:textId="77777777" w:rsidR="0031019B" w:rsidRPr="009658E3" w:rsidRDefault="0031019B" w:rsidP="000E3E3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</w:p>
    <w:p w14:paraId="32F07BBE" w14:textId="26A916DD" w:rsidR="007C58C6" w:rsidRPr="00EA3E52" w:rsidRDefault="00A01ED3" w:rsidP="00EA3E52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lastRenderedPageBreak/>
        <w:t>2. Әлеге карарның үтәлешен тикшереп торуны «</w:t>
      </w:r>
      <w:r>
        <w:rPr>
          <w:rFonts w:cs="Times New Roman"/>
          <w:color w:val="000000"/>
          <w:szCs w:val="28"/>
          <w:lang w:val="tt"/>
        </w:rPr>
        <w:t>Лениногорск муниципаль районы»</w:t>
      </w:r>
      <w:r>
        <w:rPr>
          <w:rFonts w:cs="Times New Roman"/>
          <w:color w:val="000000"/>
          <w:szCs w:val="28"/>
          <w:lang w:val="tt"/>
        </w:rPr>
        <w:t xml:space="preserve"> </w:t>
      </w:r>
      <w:r>
        <w:rPr>
          <w:rFonts w:cs="Times New Roman"/>
          <w:color w:val="000000"/>
          <w:szCs w:val="28"/>
          <w:lang w:val="tt"/>
        </w:rPr>
        <w:t>муниципаль берәмлеге Башкарма комитеты җитәкчесенең социаль мәсьәләләр буенча урынбасары В.В. Друкка йөкләргә.</w:t>
      </w:r>
    </w:p>
    <w:p w14:paraId="1EBDC793" w14:textId="77777777" w:rsidR="000B01CB" w:rsidRDefault="000B01CB" w:rsidP="007C58C6">
      <w:pPr>
        <w:rPr>
          <w:szCs w:val="28"/>
        </w:rPr>
      </w:pPr>
    </w:p>
    <w:p w14:paraId="46B4367F" w14:textId="77777777" w:rsidR="00A01ED3" w:rsidRDefault="00A01ED3" w:rsidP="00A01ED3">
      <w:pPr>
        <w:tabs>
          <w:tab w:val="left" w:pos="9360"/>
        </w:tabs>
        <w:ind w:right="-5"/>
        <w:rPr>
          <w:szCs w:val="28"/>
          <w:lang w:val="tt"/>
        </w:rPr>
      </w:pPr>
    </w:p>
    <w:p w14:paraId="09A0ACF9" w14:textId="77777777" w:rsidR="00A01ED3" w:rsidRDefault="00A01ED3" w:rsidP="00A01ED3">
      <w:pPr>
        <w:tabs>
          <w:tab w:val="left" w:pos="9360"/>
        </w:tabs>
        <w:ind w:right="-5"/>
        <w:rPr>
          <w:szCs w:val="28"/>
          <w:lang w:val="tt"/>
        </w:rPr>
      </w:pPr>
    </w:p>
    <w:p w14:paraId="10FE7184" w14:textId="0A9B79EA" w:rsidR="00A01ED3" w:rsidRPr="00A01ED3" w:rsidRDefault="00A01ED3" w:rsidP="00A01ED3">
      <w:pPr>
        <w:tabs>
          <w:tab w:val="left" w:pos="9360"/>
        </w:tabs>
        <w:ind w:right="-5"/>
        <w:rPr>
          <w:szCs w:val="28"/>
        </w:rPr>
      </w:pPr>
      <w:r>
        <w:rPr>
          <w:szCs w:val="28"/>
          <w:lang w:val="tt"/>
        </w:rPr>
        <w:t xml:space="preserve">Җитәкче                                                                              </w:t>
      </w:r>
      <w:r>
        <w:rPr>
          <w:szCs w:val="28"/>
          <w:lang w:val="tt"/>
        </w:rPr>
        <w:t xml:space="preserve">   </w:t>
      </w:r>
      <w:r w:rsidRPr="00A01ED3">
        <w:rPr>
          <w:szCs w:val="28"/>
          <w:lang w:val="tt"/>
        </w:rPr>
        <w:t>З.Г. Михайлова</w:t>
      </w:r>
    </w:p>
    <w:p w14:paraId="0C5587E8" w14:textId="77777777" w:rsidR="00A01ED3" w:rsidRPr="00A01ED3" w:rsidRDefault="00A01ED3" w:rsidP="00A01ED3">
      <w:pPr>
        <w:tabs>
          <w:tab w:val="left" w:pos="9360"/>
        </w:tabs>
        <w:ind w:right="-5"/>
        <w:rPr>
          <w:szCs w:val="28"/>
        </w:rPr>
      </w:pPr>
    </w:p>
    <w:p w14:paraId="567C9899" w14:textId="484B968A" w:rsidR="000E3E3B" w:rsidRDefault="00A01ED3" w:rsidP="00A01ED3">
      <w:pPr>
        <w:tabs>
          <w:tab w:val="left" w:pos="9360"/>
        </w:tabs>
        <w:ind w:right="-5"/>
        <w:rPr>
          <w:sz w:val="24"/>
        </w:rPr>
      </w:pPr>
      <w:r>
        <w:rPr>
          <w:szCs w:val="28"/>
          <w:lang w:val="tt"/>
        </w:rPr>
        <w:t xml:space="preserve"> </w:t>
      </w:r>
      <w:r>
        <w:rPr>
          <w:szCs w:val="28"/>
          <w:lang w:val="tt"/>
        </w:rPr>
        <w:t xml:space="preserve">                                                                                                                              </w:t>
      </w:r>
      <w:r>
        <w:rPr>
          <w:szCs w:val="28"/>
          <w:lang w:val="tt"/>
        </w:rPr>
        <w:t xml:space="preserve">   </w:t>
      </w:r>
    </w:p>
    <w:p w14:paraId="04F71202" w14:textId="77777777"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14:paraId="2E7E4AFF" w14:textId="77777777" w:rsidR="00021171" w:rsidRPr="0031019B" w:rsidRDefault="00A01ED3" w:rsidP="00097CB7">
      <w:pPr>
        <w:jc w:val="both"/>
        <w:rPr>
          <w:sz w:val="22"/>
          <w:szCs w:val="22"/>
        </w:rPr>
      </w:pPr>
      <w:r w:rsidRPr="0031019B">
        <w:rPr>
          <w:sz w:val="22"/>
          <w:szCs w:val="22"/>
          <w:lang w:val="tt"/>
        </w:rPr>
        <w:t>М.М. Хәсәнов</w:t>
      </w:r>
    </w:p>
    <w:p w14:paraId="3320A798" w14:textId="77777777" w:rsidR="0031019B" w:rsidRDefault="00A01ED3" w:rsidP="00097CB7">
      <w:pPr>
        <w:jc w:val="both"/>
        <w:rPr>
          <w:sz w:val="22"/>
          <w:szCs w:val="22"/>
        </w:rPr>
        <w:sectPr w:rsidR="0031019B" w:rsidSect="0031019B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  <w:r w:rsidRPr="0031019B">
        <w:rPr>
          <w:sz w:val="22"/>
          <w:szCs w:val="22"/>
          <w:lang w:val="tt"/>
        </w:rPr>
        <w:t>5-49-40</w:t>
      </w:r>
    </w:p>
    <w:p w14:paraId="49824FEF" w14:textId="77777777" w:rsidR="00A01ED3" w:rsidRPr="00A01ED3" w:rsidRDefault="00A01ED3" w:rsidP="00A01ED3">
      <w:pPr>
        <w:jc w:val="both"/>
        <w:rPr>
          <w:rFonts w:eastAsia="Calibri" w:cs="Times New Roman"/>
          <w:sz w:val="24"/>
          <w:lang w:eastAsia="en-US"/>
        </w:rPr>
      </w:pPr>
      <w:r>
        <w:rPr>
          <w:rFonts w:eastAsia="Calibri" w:cs="Times New Roman"/>
          <w:sz w:val="24"/>
          <w:lang w:val="tt" w:eastAsia="en-US"/>
        </w:rPr>
        <w:lastRenderedPageBreak/>
        <w:t>«</w:t>
      </w:r>
      <w:r w:rsidRPr="0031019B">
        <w:rPr>
          <w:rFonts w:eastAsia="Calibri" w:cs="Times New Roman"/>
          <w:sz w:val="24"/>
          <w:lang w:val="tt" w:eastAsia="en-US"/>
        </w:rPr>
        <w:t>2021-2025 елларга Лениногорск муниципаль районында физик культураны һәм спортны үстерү</w:t>
      </w:r>
      <w:r>
        <w:rPr>
          <w:rFonts w:eastAsia="Calibri" w:cs="Times New Roman"/>
          <w:sz w:val="24"/>
          <w:lang w:val="tt" w:eastAsia="en-US"/>
        </w:rPr>
        <w:t>»</w:t>
      </w:r>
      <w:r w:rsidRPr="0031019B">
        <w:rPr>
          <w:rFonts w:eastAsia="Calibri" w:cs="Times New Roman"/>
          <w:sz w:val="24"/>
          <w:lang w:val="tt" w:eastAsia="en-US"/>
        </w:rPr>
        <w:t xml:space="preserve"> муниципаль программасына</w:t>
      </w:r>
      <w:r>
        <w:rPr>
          <w:rFonts w:eastAsia="Calibri" w:cs="Times New Roman"/>
          <w:sz w:val="24"/>
          <w:lang w:val="tt" w:eastAsia="en-US"/>
        </w:rPr>
        <w:t xml:space="preserve"> </w:t>
      </w:r>
      <w:r w:rsidRPr="00A01ED3">
        <w:rPr>
          <w:rFonts w:eastAsia="Calibri" w:cs="Times New Roman"/>
          <w:sz w:val="24"/>
          <w:lang w:val="tt" w:eastAsia="en-US"/>
        </w:rPr>
        <w:t>3 номерлы кушымта</w:t>
      </w:r>
    </w:p>
    <w:p w14:paraId="4E7AD601" w14:textId="27416CE0" w:rsidR="0031019B" w:rsidRPr="0031019B" w:rsidRDefault="0031019B" w:rsidP="00D50C8F">
      <w:pPr>
        <w:jc w:val="both"/>
        <w:rPr>
          <w:rFonts w:eastAsia="Calibri" w:cs="Times New Roman"/>
          <w:sz w:val="24"/>
          <w:lang w:eastAsia="en-US"/>
        </w:rPr>
      </w:pPr>
    </w:p>
    <w:p w14:paraId="5970B31D" w14:textId="77777777" w:rsidR="0031019B" w:rsidRPr="0031019B" w:rsidRDefault="0031019B" w:rsidP="0031019B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76B7349A" w14:textId="78DA2E19" w:rsidR="0031019B" w:rsidRPr="0031019B" w:rsidRDefault="00A01ED3" w:rsidP="00D50C8F">
      <w:pPr>
        <w:widowControl w:val="0"/>
        <w:autoSpaceDE w:val="0"/>
        <w:autoSpaceDN w:val="0"/>
        <w:adjustRightInd w:val="0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lang w:val="tt"/>
        </w:rPr>
        <w:t>«</w:t>
      </w:r>
      <w:r w:rsidRPr="0031019B">
        <w:rPr>
          <w:rFonts w:cs="Times New Roman"/>
          <w:bCs/>
          <w:szCs w:val="28"/>
          <w:lang w:val="tt"/>
        </w:rPr>
        <w:t xml:space="preserve">2021-2025 елларга Лениногорск муниципаль районында физик </w:t>
      </w:r>
      <w:r w:rsidRPr="0031019B">
        <w:rPr>
          <w:rFonts w:cs="Times New Roman"/>
          <w:bCs/>
          <w:szCs w:val="28"/>
          <w:lang w:val="tt"/>
        </w:rPr>
        <w:t>культураны һәм спортны үстерү</w:t>
      </w:r>
      <w:r>
        <w:rPr>
          <w:rFonts w:cs="Times New Roman"/>
          <w:bCs/>
          <w:szCs w:val="28"/>
          <w:lang w:val="tt"/>
        </w:rPr>
        <w:t>»</w:t>
      </w:r>
      <w:r w:rsidRPr="0031019B">
        <w:rPr>
          <w:rFonts w:cs="Times New Roman"/>
          <w:bCs/>
          <w:szCs w:val="28"/>
          <w:lang w:val="tt"/>
        </w:rPr>
        <w:t xml:space="preserve"> муниципаль программасының максатлары, бурычлары һәм программа чаралары буенча финанслау</w:t>
      </w:r>
    </w:p>
    <w:p w14:paraId="6D6A008A" w14:textId="77777777" w:rsidR="0031019B" w:rsidRPr="0031019B" w:rsidRDefault="0031019B" w:rsidP="0031019B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EE3775" w14:paraId="5E43BAC7" w14:textId="77777777" w:rsidTr="0000413B">
        <w:trPr>
          <w:trHeight w:val="894"/>
        </w:trPr>
        <w:tc>
          <w:tcPr>
            <w:tcW w:w="599" w:type="dxa"/>
            <w:vMerge w:val="restart"/>
          </w:tcPr>
          <w:p w14:paraId="16A38D12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№ т/н</w:t>
            </w:r>
          </w:p>
        </w:tc>
        <w:tc>
          <w:tcPr>
            <w:tcW w:w="1919" w:type="dxa"/>
            <w:vMerge w:val="restart"/>
          </w:tcPr>
          <w:p w14:paraId="1B67A46A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Максатның атамасы</w:t>
            </w:r>
          </w:p>
        </w:tc>
        <w:tc>
          <w:tcPr>
            <w:tcW w:w="1891" w:type="dxa"/>
            <w:vMerge w:val="restart"/>
          </w:tcPr>
          <w:p w14:paraId="721B24D0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Бурычның атамасы</w:t>
            </w:r>
          </w:p>
        </w:tc>
        <w:tc>
          <w:tcPr>
            <w:tcW w:w="3637" w:type="dxa"/>
            <w:vMerge w:val="restart"/>
          </w:tcPr>
          <w:p w14:paraId="16602325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Чараның атамасы</w:t>
            </w:r>
          </w:p>
        </w:tc>
        <w:tc>
          <w:tcPr>
            <w:tcW w:w="1696" w:type="dxa"/>
            <w:vMerge w:val="restart"/>
          </w:tcPr>
          <w:p w14:paraId="0131055B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Башкаручылар</w:t>
            </w:r>
          </w:p>
        </w:tc>
        <w:tc>
          <w:tcPr>
            <w:tcW w:w="1720" w:type="dxa"/>
            <w:vMerge w:val="restart"/>
          </w:tcPr>
          <w:p w14:paraId="50A72F67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Төп чараларны башкару сроклары, еллар</w:t>
            </w:r>
          </w:p>
        </w:tc>
        <w:tc>
          <w:tcPr>
            <w:tcW w:w="1404" w:type="dxa"/>
            <w:vMerge w:val="restart"/>
          </w:tcPr>
          <w:p w14:paraId="38D256DD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Финанслау чыганагы</w:t>
            </w:r>
          </w:p>
        </w:tc>
        <w:tc>
          <w:tcPr>
            <w:tcW w:w="2016" w:type="dxa"/>
          </w:tcPr>
          <w:p w14:paraId="785B366C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Финанслау, мең сумнарда</w:t>
            </w:r>
          </w:p>
        </w:tc>
      </w:tr>
      <w:tr w:rsidR="00EE3775" w14:paraId="1EF40D96" w14:textId="77777777" w:rsidTr="0000413B">
        <w:trPr>
          <w:trHeight w:val="631"/>
        </w:trPr>
        <w:tc>
          <w:tcPr>
            <w:tcW w:w="599" w:type="dxa"/>
            <w:vMerge/>
          </w:tcPr>
          <w:p w14:paraId="676153B6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1BD54AC8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60A29014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577E3CA9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20EA00BB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4C2AB789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1DCFE60D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4BB94E0C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en-US"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2023</w:t>
            </w:r>
          </w:p>
        </w:tc>
      </w:tr>
      <w:tr w:rsidR="00EE3775" w14:paraId="2A078109" w14:textId="77777777" w:rsidTr="0000413B">
        <w:trPr>
          <w:trHeight w:val="631"/>
        </w:trPr>
        <w:tc>
          <w:tcPr>
            <w:tcW w:w="599" w:type="dxa"/>
            <w:vMerge w:val="restart"/>
          </w:tcPr>
          <w:p w14:paraId="13B9E433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5.</w:t>
            </w:r>
          </w:p>
        </w:tc>
        <w:tc>
          <w:tcPr>
            <w:tcW w:w="1919" w:type="dxa"/>
            <w:vMerge w:val="restart"/>
          </w:tcPr>
          <w:p w14:paraId="5D742E8D" w14:textId="77777777" w:rsidR="0031019B" w:rsidRPr="0031019B" w:rsidRDefault="00A01ED3" w:rsidP="0031019B">
            <w:pPr>
              <w:spacing w:after="200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t>Лениногорск муниципаль районында физик культура һәм спорт өлкәсендә дәүләт сәясәте программасын гамәлгә ашыру</w:t>
            </w:r>
          </w:p>
        </w:tc>
        <w:tc>
          <w:tcPr>
            <w:tcW w:w="1891" w:type="dxa"/>
            <w:vMerge w:val="restart"/>
          </w:tcPr>
          <w:p w14:paraId="4D2AAFA3" w14:textId="77777777" w:rsidR="0031019B" w:rsidRPr="0031019B" w:rsidRDefault="00A01ED3" w:rsidP="0031019B">
            <w:pPr>
              <w:spacing w:after="200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t xml:space="preserve">Массакүләм физик культураны һәм спортны үстерү, халыкның сәламәтлеген ныгыту, Лениногорск </w:t>
            </w: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t>районының спорт имиджын ныгыту</w:t>
            </w:r>
          </w:p>
        </w:tc>
        <w:tc>
          <w:tcPr>
            <w:tcW w:w="3637" w:type="dxa"/>
            <w:vMerge w:val="restart"/>
          </w:tcPr>
          <w:p w14:paraId="79A0E6F0" w14:textId="77777777" w:rsidR="0031019B" w:rsidRPr="0031019B" w:rsidRDefault="00A01ED3" w:rsidP="0031019B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Лениногорск муниципаль районы спорт мәктәпләре спортчыларын йөртү буенча аутсорсинг хезмәт күрсәтүләренә бәйле чараларны гамәлгә ашыру</w:t>
            </w:r>
          </w:p>
        </w:tc>
        <w:tc>
          <w:tcPr>
            <w:tcW w:w="1696" w:type="dxa"/>
            <w:vMerge w:val="restart"/>
          </w:tcPr>
          <w:p w14:paraId="2CC88684" w14:textId="4F838332" w:rsidR="0031019B" w:rsidRPr="0031019B" w:rsidRDefault="00A01ED3" w:rsidP="0031019B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>«</w:t>
            </w: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t>УДМСиТ</w:t>
            </w:r>
            <w:r>
              <w:rPr>
                <w:rFonts w:cs="Times New Roman"/>
                <w:sz w:val="24"/>
                <w:szCs w:val="22"/>
                <w:lang w:val="tt" w:eastAsia="en-US"/>
              </w:rPr>
              <w:t>»</w:t>
            </w: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t xml:space="preserve"> </w:t>
            </w:r>
          </w:p>
          <w:p w14:paraId="23DD3D36" w14:textId="77777777" w:rsidR="0031019B" w:rsidRPr="0031019B" w:rsidRDefault="00A01ED3" w:rsidP="0031019B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t>МКУ</w:t>
            </w:r>
          </w:p>
          <w:p w14:paraId="7982107D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0DBF7D61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en-US"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2023</w:t>
            </w:r>
          </w:p>
        </w:tc>
        <w:tc>
          <w:tcPr>
            <w:tcW w:w="1404" w:type="dxa"/>
          </w:tcPr>
          <w:p w14:paraId="0639B05C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6E2F5CC9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750,74</w:t>
            </w:r>
          </w:p>
        </w:tc>
      </w:tr>
      <w:tr w:rsidR="00EE3775" w14:paraId="476BECF5" w14:textId="77777777" w:rsidTr="0000413B">
        <w:trPr>
          <w:trHeight w:val="631"/>
        </w:trPr>
        <w:tc>
          <w:tcPr>
            <w:tcW w:w="599" w:type="dxa"/>
            <w:vMerge/>
          </w:tcPr>
          <w:p w14:paraId="7CEDED0A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4EAB905E" w14:textId="77777777" w:rsidR="0031019B" w:rsidRPr="0031019B" w:rsidRDefault="0031019B" w:rsidP="0031019B">
            <w:pPr>
              <w:spacing w:after="200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26CE4A2E" w14:textId="77777777" w:rsidR="0031019B" w:rsidRPr="0031019B" w:rsidRDefault="0031019B" w:rsidP="0031019B">
            <w:pPr>
              <w:spacing w:after="200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53008CFE" w14:textId="77777777" w:rsidR="0031019B" w:rsidRPr="0031019B" w:rsidRDefault="0031019B" w:rsidP="0031019B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572DD4A6" w14:textId="77777777" w:rsidR="0031019B" w:rsidRPr="0031019B" w:rsidRDefault="0031019B" w:rsidP="0031019B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</w:tcPr>
          <w:p w14:paraId="1443BF1F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2023</w:t>
            </w:r>
          </w:p>
        </w:tc>
        <w:tc>
          <w:tcPr>
            <w:tcW w:w="1404" w:type="dxa"/>
          </w:tcPr>
          <w:p w14:paraId="0607C170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Җирле</w:t>
            </w:r>
            <w:r w:rsidRPr="0031019B">
              <w:rPr>
                <w:rFonts w:eastAsia="Calibri" w:cs="Times New Roman"/>
                <w:sz w:val="24"/>
                <w:lang w:val="tt" w:eastAsia="en-US"/>
              </w:rPr>
              <w:t xml:space="preserve"> бюджет</w:t>
            </w:r>
          </w:p>
        </w:tc>
        <w:tc>
          <w:tcPr>
            <w:tcW w:w="2016" w:type="dxa"/>
          </w:tcPr>
          <w:p w14:paraId="72948980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7,507</w:t>
            </w:r>
          </w:p>
        </w:tc>
      </w:tr>
      <w:tr w:rsidR="00EE3775" w14:paraId="775D1672" w14:textId="77777777" w:rsidTr="0000413B">
        <w:trPr>
          <w:trHeight w:val="631"/>
        </w:trPr>
        <w:tc>
          <w:tcPr>
            <w:tcW w:w="599" w:type="dxa"/>
            <w:vMerge w:val="restart"/>
          </w:tcPr>
          <w:p w14:paraId="126E5DC8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en-US"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6.</w:t>
            </w:r>
          </w:p>
        </w:tc>
        <w:tc>
          <w:tcPr>
            <w:tcW w:w="1919" w:type="dxa"/>
            <w:vMerge w:val="restart"/>
          </w:tcPr>
          <w:p w14:paraId="2F106EEA" w14:textId="77777777" w:rsidR="0031019B" w:rsidRPr="00A01ED3" w:rsidRDefault="00A01ED3" w:rsidP="0031019B">
            <w:pPr>
              <w:spacing w:after="200"/>
              <w:jc w:val="center"/>
              <w:rPr>
                <w:rFonts w:eastAsia="Calibri" w:cs="Times New Roman"/>
                <w:sz w:val="24"/>
                <w:lang w:val="en-US" w:eastAsia="en-US"/>
              </w:rPr>
            </w:pP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t xml:space="preserve">Лениногорск муниципаль районында физик культура һәм спорт өлкәсендә дәүләт сәясәте программасын </w:t>
            </w: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lastRenderedPageBreak/>
              <w:t>гамәлгә ашыру</w:t>
            </w:r>
          </w:p>
        </w:tc>
        <w:tc>
          <w:tcPr>
            <w:tcW w:w="1891" w:type="dxa"/>
            <w:vMerge w:val="restart"/>
          </w:tcPr>
          <w:p w14:paraId="247BD5C2" w14:textId="77777777" w:rsidR="0031019B" w:rsidRPr="00A01ED3" w:rsidRDefault="00A01ED3" w:rsidP="0031019B">
            <w:pPr>
              <w:spacing w:after="200"/>
              <w:jc w:val="center"/>
              <w:rPr>
                <w:rFonts w:eastAsia="Calibri" w:cs="Times New Roman"/>
                <w:sz w:val="24"/>
                <w:lang w:val="en-US" w:eastAsia="en-US"/>
              </w:rPr>
            </w:pP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lastRenderedPageBreak/>
              <w:t xml:space="preserve">Массакүләм физик культураны һәм спортны үстерү, халыкның сәламәтлеген ныгыту, Лениногорск </w:t>
            </w: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lastRenderedPageBreak/>
              <w:t>районының спорт имиджын ныгыту</w:t>
            </w:r>
          </w:p>
        </w:tc>
        <w:tc>
          <w:tcPr>
            <w:tcW w:w="3637" w:type="dxa"/>
            <w:vMerge w:val="restart"/>
          </w:tcPr>
          <w:p w14:paraId="3DC449A5" w14:textId="2D7B27F2" w:rsidR="0031019B" w:rsidRPr="00A01ED3" w:rsidRDefault="00A01ED3" w:rsidP="0031019B">
            <w:pPr>
              <w:spacing w:after="200" w:line="276" w:lineRule="auto"/>
              <w:rPr>
                <w:rFonts w:eastAsia="Calibri" w:cs="Times New Roman"/>
                <w:sz w:val="24"/>
                <w:lang w:val="en-US" w:eastAsia="en-US"/>
              </w:rPr>
            </w:pPr>
            <w:r w:rsidRPr="0031019B">
              <w:rPr>
                <w:rFonts w:cs="Times New Roman"/>
                <w:sz w:val="25"/>
                <w:szCs w:val="25"/>
                <w:lang w:val="tt"/>
              </w:rPr>
              <w:lastRenderedPageBreak/>
              <w:t>Татарстан Республикасы Ле</w:t>
            </w:r>
            <w:r w:rsidRPr="0031019B">
              <w:rPr>
                <w:rFonts w:cs="Times New Roman"/>
                <w:sz w:val="25"/>
                <w:szCs w:val="25"/>
                <w:lang w:val="tt"/>
              </w:rPr>
              <w:t xml:space="preserve">ниногорск муниципаль районының </w:t>
            </w:r>
            <w:r>
              <w:rPr>
                <w:rFonts w:cs="Times New Roman"/>
                <w:sz w:val="25"/>
                <w:szCs w:val="25"/>
                <w:lang w:val="tt"/>
              </w:rPr>
              <w:t>«</w:t>
            </w:r>
            <w:r w:rsidRPr="0031019B">
              <w:rPr>
                <w:rFonts w:cs="Times New Roman"/>
                <w:sz w:val="25"/>
                <w:szCs w:val="25"/>
                <w:lang w:val="tt"/>
              </w:rPr>
              <w:t>Нефтяник</w:t>
            </w:r>
            <w:r>
              <w:rPr>
                <w:rFonts w:cs="Times New Roman"/>
                <w:sz w:val="25"/>
                <w:szCs w:val="25"/>
                <w:lang w:val="tt"/>
              </w:rPr>
              <w:t>»</w:t>
            </w:r>
            <w:r w:rsidRPr="0031019B">
              <w:rPr>
                <w:rFonts w:cs="Times New Roman"/>
                <w:sz w:val="25"/>
                <w:szCs w:val="25"/>
                <w:lang w:val="tt"/>
              </w:rPr>
              <w:t xml:space="preserve"> спот корылмасы – Боз сарае</w:t>
            </w:r>
            <w:r>
              <w:rPr>
                <w:rFonts w:cs="Times New Roman"/>
                <w:sz w:val="25"/>
                <w:szCs w:val="25"/>
                <w:lang w:val="tt"/>
              </w:rPr>
              <w:t>»</w:t>
            </w:r>
            <w:r w:rsidRPr="0031019B">
              <w:rPr>
                <w:rFonts w:cs="Times New Roman"/>
                <w:sz w:val="25"/>
                <w:szCs w:val="25"/>
                <w:lang w:val="tt"/>
              </w:rPr>
              <w:t xml:space="preserve"> муниципаль бюджет учреждениесе тарафыннан боз сараен оператив идарә итү </w:t>
            </w:r>
            <w:r w:rsidRPr="0031019B">
              <w:rPr>
                <w:rFonts w:cs="Times New Roman"/>
                <w:sz w:val="25"/>
                <w:szCs w:val="25"/>
                <w:lang w:val="tt"/>
              </w:rPr>
              <w:lastRenderedPageBreak/>
              <w:t xml:space="preserve">хокукына беркетүгә бәйле рәвештә, физик культура, массакүләм спортны үстерү, рәсми физкультура-сәламәтләндерү һәм </w:t>
            </w:r>
            <w:r w:rsidRPr="0031019B">
              <w:rPr>
                <w:rFonts w:cs="Times New Roman"/>
                <w:sz w:val="25"/>
                <w:szCs w:val="25"/>
                <w:lang w:val="tt"/>
              </w:rPr>
              <w:t>спорт чараларын үткәрүне оештыру өчен шартлар тудыруга бәйле чараларны гамәлгә ашыру</w:t>
            </w:r>
          </w:p>
        </w:tc>
        <w:tc>
          <w:tcPr>
            <w:tcW w:w="1696" w:type="dxa"/>
            <w:vMerge w:val="restart"/>
          </w:tcPr>
          <w:p w14:paraId="2E4A1470" w14:textId="605C87AA" w:rsidR="0031019B" w:rsidRPr="0031019B" w:rsidRDefault="00A01ED3" w:rsidP="0031019B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lastRenderedPageBreak/>
              <w:t>«</w:t>
            </w: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t>УДМСиТ</w:t>
            </w:r>
            <w:r>
              <w:rPr>
                <w:rFonts w:cs="Times New Roman"/>
                <w:sz w:val="24"/>
                <w:szCs w:val="22"/>
                <w:lang w:val="tt" w:eastAsia="en-US"/>
              </w:rPr>
              <w:t>»</w:t>
            </w:r>
            <w:r w:rsidRPr="0031019B">
              <w:rPr>
                <w:rFonts w:cs="Times New Roman"/>
                <w:sz w:val="24"/>
                <w:szCs w:val="22"/>
                <w:lang w:val="tt" w:eastAsia="en-US"/>
              </w:rPr>
              <w:t xml:space="preserve"> МКУ</w:t>
            </w:r>
          </w:p>
        </w:tc>
        <w:tc>
          <w:tcPr>
            <w:tcW w:w="1720" w:type="dxa"/>
          </w:tcPr>
          <w:p w14:paraId="6AFEC9D4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2023</w:t>
            </w:r>
          </w:p>
        </w:tc>
        <w:tc>
          <w:tcPr>
            <w:tcW w:w="1404" w:type="dxa"/>
          </w:tcPr>
          <w:p w14:paraId="4B91AC3F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2E89CBD2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12974,00</w:t>
            </w:r>
          </w:p>
        </w:tc>
      </w:tr>
      <w:tr w:rsidR="00EE3775" w14:paraId="6A8C83D5" w14:textId="77777777" w:rsidTr="0000413B">
        <w:trPr>
          <w:trHeight w:val="631"/>
        </w:trPr>
        <w:tc>
          <w:tcPr>
            <w:tcW w:w="599" w:type="dxa"/>
            <w:vMerge/>
          </w:tcPr>
          <w:p w14:paraId="4933077A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45B2BB19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74C07782" w14:textId="77777777" w:rsidR="0031019B" w:rsidRPr="0031019B" w:rsidRDefault="0031019B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16B5B6BB" w14:textId="77777777" w:rsidR="0031019B" w:rsidRPr="0031019B" w:rsidRDefault="0031019B" w:rsidP="0031019B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542FEB31" w14:textId="77777777" w:rsidR="0031019B" w:rsidRPr="0031019B" w:rsidRDefault="0031019B" w:rsidP="0031019B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720" w:type="dxa"/>
          </w:tcPr>
          <w:p w14:paraId="4D5E86AD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2023</w:t>
            </w:r>
          </w:p>
        </w:tc>
        <w:tc>
          <w:tcPr>
            <w:tcW w:w="1404" w:type="dxa"/>
          </w:tcPr>
          <w:p w14:paraId="3E616673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Җирле</w:t>
            </w:r>
            <w:r w:rsidRPr="0031019B">
              <w:rPr>
                <w:rFonts w:eastAsia="Calibri" w:cs="Times New Roman"/>
                <w:sz w:val="24"/>
                <w:lang w:val="tt" w:eastAsia="en-US"/>
              </w:rPr>
              <w:t xml:space="preserve"> бюджет</w:t>
            </w:r>
          </w:p>
        </w:tc>
        <w:tc>
          <w:tcPr>
            <w:tcW w:w="2016" w:type="dxa"/>
          </w:tcPr>
          <w:p w14:paraId="39A42E2F" w14:textId="77777777" w:rsidR="0031019B" w:rsidRPr="0031019B" w:rsidRDefault="00A01ED3" w:rsidP="0031019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31019B">
              <w:rPr>
                <w:rFonts w:eastAsia="Calibri" w:cs="Times New Roman"/>
                <w:sz w:val="24"/>
                <w:lang w:val="tt" w:eastAsia="en-US"/>
              </w:rPr>
              <w:t>129,74</w:t>
            </w:r>
          </w:p>
        </w:tc>
      </w:tr>
    </w:tbl>
    <w:p w14:paraId="3E0FED62" w14:textId="68C6F137" w:rsidR="00EB5667" w:rsidRPr="0031019B" w:rsidRDefault="00EB5667" w:rsidP="00097CB7">
      <w:pPr>
        <w:jc w:val="both"/>
        <w:rPr>
          <w:sz w:val="22"/>
          <w:szCs w:val="22"/>
        </w:rPr>
      </w:pPr>
    </w:p>
    <w:sectPr w:rsidR="00EB5667" w:rsidRPr="0031019B" w:rsidSect="0031019B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40F7"/>
    <w:rsid w:val="00167442"/>
    <w:rsid w:val="00251C7A"/>
    <w:rsid w:val="00291E7A"/>
    <w:rsid w:val="002E382F"/>
    <w:rsid w:val="002F09E9"/>
    <w:rsid w:val="0031019B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75595"/>
    <w:rsid w:val="00523984"/>
    <w:rsid w:val="00585CE9"/>
    <w:rsid w:val="0059657A"/>
    <w:rsid w:val="005A36F5"/>
    <w:rsid w:val="006029E7"/>
    <w:rsid w:val="0068715C"/>
    <w:rsid w:val="00691438"/>
    <w:rsid w:val="00696121"/>
    <w:rsid w:val="00721115"/>
    <w:rsid w:val="007366AA"/>
    <w:rsid w:val="0079284D"/>
    <w:rsid w:val="007A5055"/>
    <w:rsid w:val="007C58C6"/>
    <w:rsid w:val="007C7782"/>
    <w:rsid w:val="007D09EA"/>
    <w:rsid w:val="007D4DF9"/>
    <w:rsid w:val="00802B21"/>
    <w:rsid w:val="00847405"/>
    <w:rsid w:val="0086514E"/>
    <w:rsid w:val="0087030A"/>
    <w:rsid w:val="00885645"/>
    <w:rsid w:val="008B0BA2"/>
    <w:rsid w:val="008F2729"/>
    <w:rsid w:val="0091173D"/>
    <w:rsid w:val="00913B98"/>
    <w:rsid w:val="009658E3"/>
    <w:rsid w:val="009750F5"/>
    <w:rsid w:val="00991358"/>
    <w:rsid w:val="009F38BE"/>
    <w:rsid w:val="00A01ED3"/>
    <w:rsid w:val="00A6375A"/>
    <w:rsid w:val="00A71DB0"/>
    <w:rsid w:val="00A86E13"/>
    <w:rsid w:val="00AA5423"/>
    <w:rsid w:val="00AB7160"/>
    <w:rsid w:val="00B136A8"/>
    <w:rsid w:val="00B44720"/>
    <w:rsid w:val="00B77481"/>
    <w:rsid w:val="00B82308"/>
    <w:rsid w:val="00B961FA"/>
    <w:rsid w:val="00BA654E"/>
    <w:rsid w:val="00BB1E24"/>
    <w:rsid w:val="00BC55D9"/>
    <w:rsid w:val="00C03768"/>
    <w:rsid w:val="00C306BD"/>
    <w:rsid w:val="00C72E76"/>
    <w:rsid w:val="00CB3613"/>
    <w:rsid w:val="00CE71ED"/>
    <w:rsid w:val="00D06AD9"/>
    <w:rsid w:val="00D2725D"/>
    <w:rsid w:val="00D31645"/>
    <w:rsid w:val="00D50C8F"/>
    <w:rsid w:val="00DB4A15"/>
    <w:rsid w:val="00DD5BF6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E3775"/>
    <w:rsid w:val="00EF3478"/>
    <w:rsid w:val="00F030E9"/>
    <w:rsid w:val="00F122F6"/>
    <w:rsid w:val="00F438A5"/>
    <w:rsid w:val="00F650F9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7AB4"/>
  <w15:docId w15:val="{906F40CE-A42D-49DD-8E7B-C3B854B5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31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AA24-0B67-4DFB-9BA3-1C954E60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Специалист СМИ</cp:lastModifiedBy>
  <cp:revision>2</cp:revision>
  <cp:lastPrinted>2023-06-01T11:02:00Z</cp:lastPrinted>
  <dcterms:created xsi:type="dcterms:W3CDTF">2023-06-07T04:40:00Z</dcterms:created>
  <dcterms:modified xsi:type="dcterms:W3CDTF">2023-06-07T04:40:00Z</dcterms:modified>
</cp:coreProperties>
</file>