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4860" w14:textId="77777777" w:rsidR="00FD4994" w:rsidRPr="00425891" w:rsidRDefault="00FD4994" w:rsidP="007A5055">
      <w:pPr>
        <w:ind w:right="-1"/>
        <w:jc w:val="center"/>
        <w:rPr>
          <w:rStyle w:val="a5"/>
          <w:rFonts w:eastAsia="Calibri"/>
        </w:rPr>
      </w:pPr>
    </w:p>
    <w:p w14:paraId="397B5188" w14:textId="77777777" w:rsidR="00FD4994" w:rsidRPr="00897D78" w:rsidRDefault="00FD499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AF3B342" w14:textId="635546EF" w:rsidR="00FD4994" w:rsidRPr="00897D78" w:rsidRDefault="00425891" w:rsidP="00425891">
      <w:pPr>
        <w:ind w:right="-1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val="tt" w:eastAsia="en-US"/>
        </w:rPr>
        <w:t xml:space="preserve">ПОСТАНОВЛЕНИЕ                                                     </w:t>
      </w:r>
      <w:r w:rsidRPr="00897D78">
        <w:rPr>
          <w:rFonts w:eastAsia="Calibri"/>
          <w:szCs w:val="28"/>
          <w:lang w:val="tt" w:eastAsia="en-US"/>
        </w:rPr>
        <w:t xml:space="preserve">КАРАР          </w:t>
      </w:r>
    </w:p>
    <w:p w14:paraId="0230D78D" w14:textId="77777777" w:rsidR="00FD4994" w:rsidRPr="00897D78" w:rsidRDefault="00FD499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6C9F745" w14:textId="77777777" w:rsidR="00FD4994" w:rsidRPr="00897D78" w:rsidRDefault="00FD499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F798B89" w14:textId="598F3BBA" w:rsidR="009C4571" w:rsidRDefault="00425891" w:rsidP="009C4571">
      <w:pPr>
        <w:rPr>
          <w:rFonts w:eastAsia="Calibri"/>
          <w:szCs w:val="28"/>
          <w:lang w:eastAsia="en-US"/>
        </w:rPr>
      </w:pPr>
      <w:r w:rsidRPr="00897D78">
        <w:rPr>
          <w:rFonts w:eastAsia="Calibri"/>
          <w:szCs w:val="28"/>
          <w:lang w:val="tt" w:eastAsia="en-US"/>
        </w:rPr>
        <w:t xml:space="preserve">                                            </w:t>
      </w:r>
      <w:r w:rsidRPr="00897D78">
        <w:rPr>
          <w:rFonts w:eastAsia="Calibri"/>
          <w:szCs w:val="28"/>
          <w:lang w:val="tt" w:eastAsia="en-US"/>
        </w:rPr>
        <w:t xml:space="preserve"> </w:t>
      </w:r>
      <w:r w:rsidRPr="00897D78">
        <w:rPr>
          <w:rFonts w:eastAsia="Calibri"/>
          <w:szCs w:val="28"/>
          <w:lang w:val="tt" w:eastAsia="en-US"/>
        </w:rPr>
        <w:t>2023</w:t>
      </w:r>
      <w:r>
        <w:rPr>
          <w:rFonts w:eastAsia="Calibri"/>
          <w:szCs w:val="28"/>
          <w:lang w:val="tt" w:eastAsia="en-US"/>
        </w:rPr>
        <w:t xml:space="preserve"> </w:t>
      </w:r>
      <w:r w:rsidRPr="00897D78">
        <w:rPr>
          <w:rFonts w:eastAsia="Calibri"/>
          <w:szCs w:val="28"/>
          <w:lang w:val="tt" w:eastAsia="en-US"/>
        </w:rPr>
        <w:t xml:space="preserve">елның </w:t>
      </w:r>
      <w:r w:rsidRPr="00897D78">
        <w:rPr>
          <w:rFonts w:eastAsia="Calibri"/>
          <w:szCs w:val="28"/>
          <w:lang w:val="tt" w:eastAsia="en-US"/>
        </w:rPr>
        <w:t>9  феврале                                  № 483</w:t>
      </w:r>
    </w:p>
    <w:p w14:paraId="67DECB8C" w14:textId="77777777" w:rsidR="009C4571" w:rsidRDefault="009C4571" w:rsidP="009C4571">
      <w:pPr>
        <w:rPr>
          <w:rFonts w:eastAsia="Calibri"/>
          <w:szCs w:val="28"/>
          <w:lang w:eastAsia="en-US"/>
        </w:rPr>
      </w:pPr>
    </w:p>
    <w:p w14:paraId="7C7397A6" w14:textId="77777777" w:rsidR="009C4571" w:rsidRDefault="009C4571" w:rsidP="009C4571">
      <w:pPr>
        <w:rPr>
          <w:rFonts w:eastAsia="Calibri"/>
          <w:szCs w:val="28"/>
          <w:lang w:eastAsia="en-US"/>
        </w:rPr>
      </w:pPr>
    </w:p>
    <w:p w14:paraId="4F508586" w14:textId="77777777" w:rsidR="009C4571" w:rsidRDefault="009C4571" w:rsidP="009C4571">
      <w:pPr>
        <w:rPr>
          <w:rFonts w:eastAsia="Calibri"/>
          <w:szCs w:val="28"/>
          <w:lang w:eastAsia="en-US"/>
        </w:rPr>
      </w:pPr>
    </w:p>
    <w:p w14:paraId="51CBF74C" w14:textId="2CE21A7B" w:rsidR="0078632B" w:rsidRPr="009C4571" w:rsidRDefault="00425891" w:rsidP="009C4571">
      <w:pPr>
        <w:jc w:val="both"/>
        <w:rPr>
          <w:rFonts w:eastAsia="Calibri"/>
          <w:szCs w:val="28"/>
          <w:lang w:eastAsia="en-US"/>
        </w:rPr>
      </w:pPr>
      <w:r>
        <w:rPr>
          <w:rFonts w:cs="Times New Roman"/>
          <w:bCs/>
          <w:color w:val="000000"/>
          <w:szCs w:val="28"/>
          <w:lang w:val="tt"/>
        </w:rPr>
        <w:t>«</w:t>
      </w:r>
      <w:r w:rsidRPr="00482BA1">
        <w:rPr>
          <w:rFonts w:cs="Times New Roman"/>
          <w:bCs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bCs/>
          <w:color w:val="000000"/>
          <w:szCs w:val="28"/>
          <w:lang w:val="tt"/>
        </w:rPr>
        <w:t>»</w:t>
      </w:r>
      <w:r w:rsidRPr="00482BA1">
        <w:rPr>
          <w:rFonts w:cs="Times New Roman"/>
          <w:bCs/>
          <w:color w:val="000000"/>
          <w:szCs w:val="28"/>
          <w:lang w:val="tt"/>
        </w:rPr>
        <w:t xml:space="preserve"> муниципаль берәмлеге Башкарма комитетының </w:t>
      </w:r>
      <w:r>
        <w:rPr>
          <w:rFonts w:cs="Times New Roman"/>
          <w:bCs/>
          <w:color w:val="000000"/>
          <w:szCs w:val="28"/>
          <w:lang w:val="tt"/>
        </w:rPr>
        <w:t>«</w:t>
      </w:r>
      <w:r w:rsidRPr="00482BA1">
        <w:rPr>
          <w:rFonts w:cs="Times New Roman"/>
          <w:bCs/>
          <w:color w:val="000000"/>
          <w:szCs w:val="28"/>
          <w:lang w:val="tt"/>
        </w:rPr>
        <w:t>2021-2025 елларга Лениногорск муниципаль районында яшьлә</w:t>
      </w:r>
      <w:r w:rsidRPr="00482BA1">
        <w:rPr>
          <w:rFonts w:cs="Times New Roman"/>
          <w:bCs/>
          <w:color w:val="000000"/>
          <w:szCs w:val="28"/>
          <w:lang w:val="tt"/>
        </w:rPr>
        <w:t>р сәясәтен үстерү</w:t>
      </w:r>
      <w:r>
        <w:rPr>
          <w:rFonts w:cs="Times New Roman"/>
          <w:bCs/>
          <w:color w:val="000000"/>
          <w:szCs w:val="28"/>
          <w:lang w:val="tt"/>
        </w:rPr>
        <w:t>»</w:t>
      </w:r>
      <w:r w:rsidRPr="00482BA1">
        <w:rPr>
          <w:rFonts w:cs="Times New Roman"/>
          <w:bCs/>
          <w:color w:val="000000"/>
          <w:szCs w:val="28"/>
          <w:lang w:val="tt"/>
        </w:rPr>
        <w:t xml:space="preserve"> программасын раслау турында</w:t>
      </w:r>
      <w:r>
        <w:rPr>
          <w:rFonts w:cs="Times New Roman"/>
          <w:bCs/>
          <w:color w:val="000000"/>
          <w:szCs w:val="28"/>
          <w:lang w:val="tt"/>
        </w:rPr>
        <w:t>»</w:t>
      </w:r>
      <w:r w:rsidRPr="00482BA1">
        <w:rPr>
          <w:rFonts w:cs="Times New Roman"/>
          <w:bCs/>
          <w:color w:val="000000"/>
          <w:szCs w:val="28"/>
          <w:lang w:val="tt"/>
        </w:rPr>
        <w:t xml:space="preserve"> 2020 елның 17 августындагы 935 номерлы карары белән расланган (</w:t>
      </w:r>
      <w:r>
        <w:rPr>
          <w:rFonts w:cs="Times New Roman"/>
          <w:bCs/>
          <w:color w:val="000000"/>
          <w:szCs w:val="28"/>
          <w:lang w:val="tt"/>
        </w:rPr>
        <w:t>«</w:t>
      </w:r>
      <w:r w:rsidRPr="00482BA1">
        <w:rPr>
          <w:rFonts w:cs="Times New Roman"/>
          <w:bCs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bCs/>
          <w:color w:val="000000"/>
          <w:szCs w:val="28"/>
          <w:lang w:val="tt"/>
        </w:rPr>
        <w:t>»</w:t>
      </w:r>
      <w:r w:rsidRPr="00482BA1">
        <w:rPr>
          <w:rFonts w:cs="Times New Roman"/>
          <w:bCs/>
          <w:color w:val="000000"/>
          <w:szCs w:val="28"/>
          <w:lang w:val="tt"/>
        </w:rPr>
        <w:t xml:space="preserve"> муниципаль берәмлеге Башкарма комитетының 2020 елның 20 ноябрендәге 1361 номерлы, 2021 елның 30 декабрендәге 1271</w:t>
      </w:r>
      <w:r w:rsidRPr="00482BA1">
        <w:rPr>
          <w:rFonts w:cs="Times New Roman"/>
          <w:bCs/>
          <w:color w:val="000000"/>
          <w:szCs w:val="28"/>
          <w:lang w:val="tt"/>
        </w:rPr>
        <w:t xml:space="preserve"> номерлы карарлары белән кертелгән үзгәрешләрне исәпкә алып) </w:t>
      </w:r>
      <w:r>
        <w:rPr>
          <w:rFonts w:cs="Times New Roman"/>
          <w:bCs/>
          <w:color w:val="000000"/>
          <w:szCs w:val="28"/>
          <w:lang w:val="tt"/>
        </w:rPr>
        <w:t>«</w:t>
      </w:r>
      <w:r w:rsidRPr="00482BA1">
        <w:rPr>
          <w:rFonts w:cs="Times New Roman"/>
          <w:bCs/>
          <w:color w:val="000000"/>
          <w:szCs w:val="28"/>
          <w:lang w:val="tt"/>
        </w:rPr>
        <w:t>2021-2025 елларга Лениногорск муниципаль районында яшьләр сәясәтен үстерү</w:t>
      </w:r>
      <w:r>
        <w:rPr>
          <w:rFonts w:cs="Times New Roman"/>
          <w:bCs/>
          <w:color w:val="000000"/>
          <w:szCs w:val="28"/>
          <w:lang w:val="tt"/>
        </w:rPr>
        <w:t>»</w:t>
      </w:r>
      <w:r>
        <w:rPr>
          <w:rFonts w:cs="Times New Roman"/>
          <w:bCs/>
          <w:color w:val="000000"/>
          <w:szCs w:val="28"/>
          <w:lang w:val="tt"/>
        </w:rPr>
        <w:t xml:space="preserve"> </w:t>
      </w:r>
      <w:r w:rsidRPr="00482BA1">
        <w:rPr>
          <w:rFonts w:cs="Times New Roman"/>
          <w:bCs/>
          <w:color w:val="000000"/>
          <w:szCs w:val="28"/>
          <w:lang w:val="tt"/>
        </w:rPr>
        <w:t xml:space="preserve"> программасына үзгәрешләр кертү турында </w:t>
      </w:r>
    </w:p>
    <w:p w14:paraId="18DB0171" w14:textId="77777777" w:rsidR="00A548D4" w:rsidRDefault="00425891" w:rsidP="0078632B">
      <w:pPr>
        <w:jc w:val="both"/>
        <w:rPr>
          <w:rFonts w:cs="Times New Roman"/>
          <w:color w:val="000000"/>
          <w:szCs w:val="28"/>
        </w:rPr>
      </w:pPr>
      <w:r w:rsidRPr="00F438A5">
        <w:rPr>
          <w:rFonts w:cs="Times New Roman"/>
          <w:color w:val="000000"/>
          <w:szCs w:val="28"/>
        </w:rPr>
        <w:tab/>
      </w:r>
    </w:p>
    <w:p w14:paraId="24D315EF" w14:textId="3FC4A92A" w:rsidR="0078632B" w:rsidRPr="00F438A5" w:rsidRDefault="00425891" w:rsidP="00A548D4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lang w:val="tt"/>
        </w:rPr>
        <w:t>«</w:t>
      </w:r>
      <w:r w:rsidRPr="00042243">
        <w:rPr>
          <w:rFonts w:cs="Times New Roman"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color w:val="000000"/>
          <w:szCs w:val="28"/>
          <w:lang w:val="tt"/>
        </w:rPr>
        <w:t>»</w:t>
      </w:r>
      <w:r w:rsidRPr="00042243">
        <w:rPr>
          <w:rFonts w:cs="Times New Roman"/>
          <w:color w:val="000000"/>
          <w:szCs w:val="28"/>
          <w:lang w:val="tt"/>
        </w:rPr>
        <w:t xml:space="preserve"> муниципаль берәмлеге Советының </w:t>
      </w:r>
      <w:r>
        <w:rPr>
          <w:rFonts w:cs="Times New Roman"/>
          <w:color w:val="000000"/>
          <w:szCs w:val="28"/>
          <w:lang w:val="tt"/>
        </w:rPr>
        <w:t>«</w:t>
      </w:r>
      <w:r w:rsidRPr="00042243">
        <w:rPr>
          <w:rFonts w:cs="Times New Roman"/>
          <w:color w:val="000000"/>
          <w:szCs w:val="28"/>
          <w:lang w:val="tt"/>
        </w:rPr>
        <w:t>2023 елга һә</w:t>
      </w:r>
      <w:r w:rsidRPr="00042243">
        <w:rPr>
          <w:rFonts w:cs="Times New Roman"/>
          <w:color w:val="000000"/>
          <w:szCs w:val="28"/>
          <w:lang w:val="tt"/>
        </w:rPr>
        <w:t>м 2024-2025 елларның план чорына Татарстан Республикасы Лениногорск муниципаль районы бюджеты турында</w:t>
      </w:r>
      <w:r>
        <w:rPr>
          <w:rFonts w:cs="Times New Roman"/>
          <w:color w:val="000000"/>
          <w:szCs w:val="28"/>
          <w:lang w:val="tt"/>
        </w:rPr>
        <w:t>»</w:t>
      </w:r>
      <w:r w:rsidRPr="00042243">
        <w:rPr>
          <w:rFonts w:cs="Times New Roman"/>
          <w:color w:val="000000"/>
          <w:szCs w:val="28"/>
          <w:lang w:val="tt"/>
        </w:rPr>
        <w:t xml:space="preserve"> 2022 елның 15 декабрендәге 69 номерлы карарын үтәү йөзеннән, </w:t>
      </w:r>
      <w:r>
        <w:rPr>
          <w:rFonts w:cs="Times New Roman"/>
          <w:color w:val="000000"/>
          <w:szCs w:val="28"/>
          <w:lang w:val="tt"/>
        </w:rPr>
        <w:t>«</w:t>
      </w:r>
      <w:r w:rsidRPr="00042243">
        <w:rPr>
          <w:rFonts w:cs="Times New Roman"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color w:val="000000"/>
          <w:szCs w:val="28"/>
          <w:lang w:val="tt"/>
        </w:rPr>
        <w:t>»</w:t>
      </w:r>
      <w:r w:rsidRPr="00042243">
        <w:rPr>
          <w:rFonts w:cs="Times New Roman"/>
          <w:color w:val="000000"/>
          <w:szCs w:val="28"/>
          <w:lang w:val="tt"/>
        </w:rPr>
        <w:t xml:space="preserve"> муниципаль берәмлеге Башкарма комитеты КАРАР БИРӘ:</w:t>
      </w:r>
    </w:p>
    <w:p w14:paraId="50FD290C" w14:textId="2984E843" w:rsidR="0078632B" w:rsidRDefault="00425891" w:rsidP="0030468F">
      <w:pPr>
        <w:tabs>
          <w:tab w:val="left" w:pos="993"/>
        </w:tabs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>1. «</w:t>
      </w:r>
      <w:r>
        <w:rPr>
          <w:rFonts w:cs="Times New Roman"/>
          <w:color w:val="000000"/>
          <w:szCs w:val="28"/>
          <w:lang w:val="tt"/>
        </w:rPr>
        <w:t>Ленин</w:t>
      </w:r>
      <w:r>
        <w:rPr>
          <w:rFonts w:cs="Times New Roman"/>
          <w:color w:val="000000"/>
          <w:szCs w:val="28"/>
          <w:lang w:val="tt"/>
        </w:rPr>
        <w:t>огорск муниципаль районы»</w:t>
      </w:r>
      <w:r>
        <w:rPr>
          <w:rFonts w:cs="Times New Roman"/>
          <w:color w:val="000000"/>
          <w:szCs w:val="28"/>
          <w:lang w:val="tt"/>
        </w:rPr>
        <w:t xml:space="preserve"> муниципаль берәмлеге Башкарма комитетының «</w:t>
      </w:r>
      <w:r>
        <w:rPr>
          <w:rFonts w:cs="Times New Roman"/>
          <w:color w:val="000000"/>
          <w:szCs w:val="28"/>
          <w:lang w:val="tt"/>
        </w:rPr>
        <w:t>2021-2025 елларга Лениногорск муниципаль районында яшьләр сәясәтен үстерү»</w:t>
      </w:r>
      <w:r>
        <w:rPr>
          <w:rFonts w:cs="Times New Roman"/>
          <w:color w:val="000000"/>
          <w:szCs w:val="28"/>
          <w:lang w:val="tt"/>
        </w:rPr>
        <w:t xml:space="preserve"> программасын раслау турында»</w:t>
      </w:r>
      <w:r>
        <w:rPr>
          <w:rFonts w:cs="Times New Roman"/>
          <w:color w:val="000000"/>
          <w:szCs w:val="28"/>
          <w:lang w:val="tt"/>
        </w:rPr>
        <w:t xml:space="preserve"> 2020 елның 17 августындагы 935 номерлы карары белән расланган («</w:t>
      </w:r>
      <w:r>
        <w:rPr>
          <w:rFonts w:cs="Times New Roman"/>
          <w:color w:val="000000"/>
          <w:szCs w:val="28"/>
          <w:lang w:val="tt"/>
        </w:rPr>
        <w:t>Лениногорск муницип</w:t>
      </w:r>
      <w:r>
        <w:rPr>
          <w:rFonts w:cs="Times New Roman"/>
          <w:color w:val="000000"/>
          <w:szCs w:val="28"/>
          <w:lang w:val="tt"/>
        </w:rPr>
        <w:t>аль районы»</w:t>
      </w:r>
      <w:r>
        <w:rPr>
          <w:rFonts w:cs="Times New Roman"/>
          <w:color w:val="000000"/>
          <w:szCs w:val="28"/>
          <w:lang w:val="tt"/>
        </w:rPr>
        <w:t xml:space="preserve"> муниципаль берәмлеге Башкарма комитетының 2020 елның 20 ноябрендәге 1361 номерлы, 2021 елның 30 декабрендәге 1271 номерлы карарлары белән кертелгән үзгәрешләрне исәпкә алып) «</w:t>
      </w:r>
      <w:r>
        <w:rPr>
          <w:rFonts w:cs="Times New Roman"/>
          <w:color w:val="000000"/>
          <w:szCs w:val="28"/>
          <w:lang w:val="tt"/>
        </w:rPr>
        <w:t>2021-2025 елларга Лениногорск муниципаль районында яшьләр сәясәтен үс</w:t>
      </w:r>
      <w:r>
        <w:rPr>
          <w:rFonts w:cs="Times New Roman"/>
          <w:color w:val="000000"/>
          <w:szCs w:val="28"/>
          <w:lang w:val="tt"/>
        </w:rPr>
        <w:t>терү</w:t>
      </w:r>
      <w:r w:rsidRPr="00425891">
        <w:rPr>
          <w:rFonts w:cs="Times New Roman"/>
          <w:bCs/>
          <w:color w:val="000000"/>
          <w:szCs w:val="28"/>
          <w:lang w:val="tt"/>
        </w:rPr>
        <w:t>»</w:t>
      </w:r>
      <w:r>
        <w:rPr>
          <w:rFonts w:cs="Times New Roman"/>
          <w:color w:val="000000"/>
          <w:szCs w:val="28"/>
          <w:lang w:val="tt"/>
        </w:rPr>
        <w:t xml:space="preserve"> </w:t>
      </w:r>
      <w:r>
        <w:rPr>
          <w:rFonts w:cs="Times New Roman"/>
          <w:color w:val="000000"/>
          <w:szCs w:val="28"/>
          <w:lang w:val="tt"/>
        </w:rPr>
        <w:t xml:space="preserve"> программасына түбәндәге үзгәрешләрне кертергә:</w:t>
      </w:r>
    </w:p>
    <w:p w14:paraId="1B1C862E" w14:textId="77777777" w:rsidR="0078632B" w:rsidRDefault="00425891" w:rsidP="0078632B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>Программа паспортында:</w:t>
      </w:r>
    </w:p>
    <w:p w14:paraId="30545DDE" w14:textId="384592FF" w:rsidR="0078632B" w:rsidRDefault="00425891" w:rsidP="009E0197">
      <w:pPr>
        <w:pStyle w:val="a3"/>
        <w:numPr>
          <w:ilvl w:val="1"/>
          <w:numId w:val="1"/>
        </w:numPr>
        <w:tabs>
          <w:tab w:val="left" w:pos="1276"/>
        </w:tabs>
        <w:ind w:left="0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tt"/>
        </w:rPr>
        <w:t>«</w:t>
      </w:r>
      <w:r>
        <w:rPr>
          <w:rFonts w:cs="Times New Roman"/>
          <w:szCs w:val="28"/>
          <w:lang w:val="tt"/>
        </w:rPr>
        <w:t>Программаны еллар һәм чыганаклар буенча бүлеп финанслау күләме»</w:t>
      </w:r>
      <w:r>
        <w:rPr>
          <w:rFonts w:cs="Times New Roman"/>
          <w:szCs w:val="28"/>
          <w:lang w:val="tt"/>
        </w:rPr>
        <w:t xml:space="preserve"> бүлеген түбәндәге редакциядә бәян итәргә:</w:t>
      </w:r>
    </w:p>
    <w:p w14:paraId="2FA1C83E" w14:textId="09B214CA" w:rsidR="009E0197" w:rsidRPr="009E0197" w:rsidRDefault="00425891" w:rsidP="009E0197">
      <w:pPr>
        <w:pStyle w:val="a3"/>
        <w:tabs>
          <w:tab w:val="left" w:pos="1276"/>
        </w:tabs>
        <w:ind w:left="0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tt"/>
        </w:rPr>
        <w:t>«</w:t>
      </w:r>
      <w:r>
        <w:rPr>
          <w:rFonts w:cs="Times New Roman"/>
          <w:szCs w:val="28"/>
          <w:lang w:val="tt"/>
        </w:rPr>
        <w:t>2021-2025 елларда Программаны финанслауның гомуми күләме Лениногорск му</w:t>
      </w:r>
      <w:r>
        <w:rPr>
          <w:rFonts w:cs="Times New Roman"/>
          <w:szCs w:val="28"/>
          <w:lang w:val="tt"/>
        </w:rPr>
        <w:t>ниципаль районы бюджеты акчалары исәбеннән булачак:</w:t>
      </w:r>
    </w:p>
    <w:p w14:paraId="6C8BCE02" w14:textId="77777777" w:rsidR="009E0197" w:rsidRPr="009E0197" w:rsidRDefault="00425891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>2021 елда - 13804,48 мең сум;</w:t>
      </w:r>
    </w:p>
    <w:p w14:paraId="4A6B1A9D" w14:textId="77777777" w:rsidR="009E0197" w:rsidRPr="009E0197" w:rsidRDefault="00425891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>2022 елда - 14876,11 мең сум;</w:t>
      </w:r>
    </w:p>
    <w:p w14:paraId="09E8C47E" w14:textId="77777777" w:rsidR="009E0197" w:rsidRPr="009E0197" w:rsidRDefault="00425891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>2023 елда - 14820,70 мең сум;</w:t>
      </w:r>
    </w:p>
    <w:p w14:paraId="41C6C5E1" w14:textId="77777777" w:rsidR="009E0197" w:rsidRPr="009E0197" w:rsidRDefault="00425891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>2024 елда - 14885,10 мең сум;</w:t>
      </w:r>
    </w:p>
    <w:p w14:paraId="01A213BF" w14:textId="77777777" w:rsidR="009E0197" w:rsidRDefault="00425891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 xml:space="preserve">2025 елда - 14939,0 мең сум. </w:t>
      </w:r>
    </w:p>
    <w:p w14:paraId="41DC330B" w14:textId="77777777" w:rsidR="009E0197" w:rsidRDefault="00425891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tt"/>
        </w:rPr>
        <w:t>Бюджеттан тыш акчалар исәбеннән:</w:t>
      </w:r>
    </w:p>
    <w:p w14:paraId="379F10BA" w14:textId="77777777" w:rsidR="009E0197" w:rsidRPr="009E0197" w:rsidRDefault="00425891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 xml:space="preserve">2021 елда - </w:t>
      </w:r>
      <w:r w:rsidRPr="009E0197">
        <w:rPr>
          <w:rFonts w:cs="Times New Roman"/>
          <w:szCs w:val="28"/>
          <w:lang w:val="tt"/>
        </w:rPr>
        <w:t>422,78 мең сум;</w:t>
      </w:r>
    </w:p>
    <w:p w14:paraId="6C518BCE" w14:textId="77777777" w:rsidR="009E0197" w:rsidRPr="009E0197" w:rsidRDefault="00425891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>2022 елда - 276,0 мең сум;</w:t>
      </w:r>
    </w:p>
    <w:p w14:paraId="0F6D4EAE" w14:textId="77777777" w:rsidR="009E0197" w:rsidRPr="009E0197" w:rsidRDefault="00425891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lastRenderedPageBreak/>
        <w:t>2023 елда - 276,0 мең сум;</w:t>
      </w:r>
    </w:p>
    <w:p w14:paraId="6F7031F7" w14:textId="77777777" w:rsidR="009E0197" w:rsidRPr="009E0197" w:rsidRDefault="00425891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>2024 елда - 276,0 мең сум;</w:t>
      </w:r>
    </w:p>
    <w:p w14:paraId="3E39B8E2" w14:textId="77777777" w:rsidR="009E0197" w:rsidRDefault="00425891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 xml:space="preserve">2025 елда - 276,0 мең сум. </w:t>
      </w:r>
    </w:p>
    <w:p w14:paraId="47767C29" w14:textId="5DDEC231" w:rsidR="009E0197" w:rsidRDefault="00425891" w:rsidP="009E0197">
      <w:pPr>
        <w:pStyle w:val="a3"/>
        <w:tabs>
          <w:tab w:val="left" w:pos="1276"/>
        </w:tabs>
        <w:ind w:left="0" w:firstLine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>Программаны финанслау күләмнәре фараз характерында һәм тиешле елга һәм план чорына Лениногорск муниципаль районы бюджеты проектын ф</w:t>
      </w:r>
      <w:r w:rsidRPr="009E0197">
        <w:rPr>
          <w:rFonts w:cs="Times New Roman"/>
          <w:szCs w:val="28"/>
          <w:lang w:val="tt"/>
        </w:rPr>
        <w:t>ормалаштырганда ел саен төгәлләштерелергә тиеш.</w:t>
      </w:r>
      <w:r>
        <w:rPr>
          <w:rFonts w:cs="Times New Roman"/>
          <w:szCs w:val="28"/>
          <w:lang w:val="tt"/>
        </w:rPr>
        <w:t>»</w:t>
      </w:r>
      <w:r w:rsidRPr="009E0197">
        <w:rPr>
          <w:rFonts w:cs="Times New Roman"/>
          <w:szCs w:val="28"/>
          <w:lang w:val="tt"/>
        </w:rPr>
        <w:t>;</w:t>
      </w:r>
    </w:p>
    <w:p w14:paraId="2786045E" w14:textId="77777777" w:rsidR="0078632B" w:rsidRDefault="00425891" w:rsidP="0078632B">
      <w:pPr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Программаның III бүлеген түбәндәге редакциядә бәян итәргә:</w:t>
      </w:r>
    </w:p>
    <w:p w14:paraId="5B624AF6" w14:textId="5CE94A4F" w:rsidR="009E0197" w:rsidRPr="009E0197" w:rsidRDefault="00425891" w:rsidP="009E0197">
      <w:pPr>
        <w:pStyle w:val="a3"/>
        <w:tabs>
          <w:tab w:val="left" w:pos="1276"/>
        </w:tabs>
        <w:ind w:left="0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tt"/>
        </w:rPr>
        <w:t>«</w:t>
      </w:r>
      <w:r>
        <w:rPr>
          <w:rFonts w:cs="Times New Roman"/>
          <w:szCs w:val="28"/>
          <w:lang w:val="tt"/>
        </w:rPr>
        <w:t>2021-2025 елларда Программаны финанслауның гомуми күләме Лениногорск муниципаль районы бюджеты акчалары исәбеннән булачак:</w:t>
      </w:r>
    </w:p>
    <w:p w14:paraId="64E29DC6" w14:textId="77777777" w:rsidR="006424F0" w:rsidRPr="009E0197" w:rsidRDefault="00425891" w:rsidP="006424F0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>2021 елда - 13804,48 ме</w:t>
      </w:r>
      <w:r w:rsidRPr="009E0197">
        <w:rPr>
          <w:rFonts w:cs="Times New Roman"/>
          <w:szCs w:val="28"/>
          <w:lang w:val="tt"/>
        </w:rPr>
        <w:t>ң сум;</w:t>
      </w:r>
    </w:p>
    <w:p w14:paraId="64CBB009" w14:textId="77777777" w:rsidR="006424F0" w:rsidRPr="009E0197" w:rsidRDefault="00425891" w:rsidP="006424F0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>2022 елда - 14876,11 мең сум;</w:t>
      </w:r>
    </w:p>
    <w:p w14:paraId="752D33D1" w14:textId="77777777" w:rsidR="006424F0" w:rsidRPr="009E0197" w:rsidRDefault="00425891" w:rsidP="006424F0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>2023 елда - 14820,70 мең сум;</w:t>
      </w:r>
    </w:p>
    <w:p w14:paraId="6229BE01" w14:textId="77777777" w:rsidR="006424F0" w:rsidRPr="009E0197" w:rsidRDefault="00425891" w:rsidP="006424F0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>2024 елда - 14885,10 мең сум;</w:t>
      </w:r>
    </w:p>
    <w:p w14:paraId="766B078C" w14:textId="77777777" w:rsidR="006424F0" w:rsidRDefault="00425891" w:rsidP="006424F0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 xml:space="preserve">2025 елда - 14939,0 мең сум. </w:t>
      </w:r>
    </w:p>
    <w:p w14:paraId="030D883D" w14:textId="77777777" w:rsidR="009E0197" w:rsidRDefault="00425891" w:rsidP="0030468F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tt"/>
        </w:rPr>
        <w:t>Бюджеттан тыш акчалар исәбеннән:</w:t>
      </w:r>
    </w:p>
    <w:p w14:paraId="393041BC" w14:textId="77777777" w:rsidR="0030468F" w:rsidRPr="009E0197" w:rsidRDefault="00425891" w:rsidP="0030468F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>2021 елда - 422,78 мең сум;</w:t>
      </w:r>
    </w:p>
    <w:p w14:paraId="0B569E45" w14:textId="77777777" w:rsidR="0030468F" w:rsidRPr="009E0197" w:rsidRDefault="00425891" w:rsidP="0030468F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>2022 елда - 276,0 мең сум;</w:t>
      </w:r>
    </w:p>
    <w:p w14:paraId="150286CC" w14:textId="77777777" w:rsidR="0030468F" w:rsidRPr="009E0197" w:rsidRDefault="00425891" w:rsidP="0030468F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>2023 елда - 276,0 мең сум;</w:t>
      </w:r>
    </w:p>
    <w:p w14:paraId="1CFA0FC3" w14:textId="77777777" w:rsidR="0030468F" w:rsidRPr="009E0197" w:rsidRDefault="00425891" w:rsidP="0030468F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 xml:space="preserve">2024 елда - </w:t>
      </w:r>
      <w:r w:rsidRPr="009E0197">
        <w:rPr>
          <w:rFonts w:cs="Times New Roman"/>
          <w:szCs w:val="28"/>
          <w:lang w:val="tt"/>
        </w:rPr>
        <w:t>276,0 мең сум;</w:t>
      </w:r>
    </w:p>
    <w:p w14:paraId="403B628A" w14:textId="77777777" w:rsidR="0030468F" w:rsidRDefault="00425891" w:rsidP="0030468F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 xml:space="preserve">2025 елда - 276,0 мең сум. </w:t>
      </w:r>
    </w:p>
    <w:p w14:paraId="58F2EA0A" w14:textId="06FD10A5" w:rsidR="00FD4994" w:rsidRDefault="00425891" w:rsidP="00FD4994">
      <w:pPr>
        <w:pStyle w:val="a3"/>
        <w:tabs>
          <w:tab w:val="left" w:pos="1276"/>
        </w:tabs>
        <w:ind w:left="0" w:firstLine="708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  <w:lang w:val="tt"/>
        </w:rPr>
        <w:t>Программаны финанслау күләмнәре фараз характерында һәм тиешле елга һәм план чорына Лениногорск муниципаль районы бюджеты проектын формалаштырганда ел саен төгәлләштерелергә тиеш.</w:t>
      </w:r>
      <w:r>
        <w:rPr>
          <w:rFonts w:cs="Times New Roman"/>
          <w:szCs w:val="28"/>
          <w:lang w:val="tt"/>
        </w:rPr>
        <w:t>»</w:t>
      </w:r>
      <w:r w:rsidRPr="009E0197">
        <w:rPr>
          <w:rFonts w:cs="Times New Roman"/>
          <w:szCs w:val="28"/>
          <w:lang w:val="tt"/>
        </w:rPr>
        <w:t>;</w:t>
      </w:r>
    </w:p>
    <w:p w14:paraId="5213F9C5" w14:textId="35A02A5D" w:rsidR="0078632B" w:rsidRPr="00FD4994" w:rsidRDefault="00425891" w:rsidP="00FD4994">
      <w:pPr>
        <w:pStyle w:val="a3"/>
        <w:tabs>
          <w:tab w:val="left" w:pos="1276"/>
        </w:tabs>
        <w:ind w:left="0" w:firstLine="708"/>
        <w:jc w:val="both"/>
        <w:rPr>
          <w:rFonts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Программага 2 нче кушымтаны кушы</w:t>
      </w:r>
      <w:r>
        <w:rPr>
          <w:rFonts w:eastAsiaTheme="minorEastAsia" w:cs="Times New Roman"/>
          <w:szCs w:val="28"/>
          <w:lang w:val="tt"/>
        </w:rPr>
        <w:t>мтада бирелгән яңа редакциядә расларга.</w:t>
      </w:r>
    </w:p>
    <w:p w14:paraId="6361D8E6" w14:textId="55962CE8" w:rsidR="0078632B" w:rsidRPr="00EA3E52" w:rsidRDefault="00425891" w:rsidP="0078632B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>4. Әлеге карарның үтәлешен контрольдә тотуны үз җаваплыгымда калдырам.</w:t>
      </w:r>
    </w:p>
    <w:p w14:paraId="2E5B09BF" w14:textId="77777777" w:rsidR="006424F0" w:rsidRDefault="006424F0" w:rsidP="0078632B">
      <w:pPr>
        <w:rPr>
          <w:szCs w:val="28"/>
        </w:rPr>
      </w:pPr>
    </w:p>
    <w:p w14:paraId="7591A7BF" w14:textId="713422B1" w:rsidR="0078632B" w:rsidRDefault="00425891" w:rsidP="0078632B">
      <w:pPr>
        <w:rPr>
          <w:szCs w:val="28"/>
        </w:rPr>
      </w:pPr>
      <w:r>
        <w:rPr>
          <w:szCs w:val="28"/>
          <w:lang w:val="tt"/>
        </w:rPr>
        <w:t xml:space="preserve">Җитәкче </w:t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  <w:t xml:space="preserve">        </w:t>
      </w:r>
      <w:r>
        <w:rPr>
          <w:szCs w:val="28"/>
          <w:lang w:val="tt"/>
        </w:rPr>
        <w:t xml:space="preserve"> З. Г. Михайлова</w:t>
      </w:r>
    </w:p>
    <w:p w14:paraId="6FDD2F8A" w14:textId="77777777" w:rsidR="0078632B" w:rsidRDefault="0078632B" w:rsidP="0078632B">
      <w:pPr>
        <w:tabs>
          <w:tab w:val="left" w:pos="9360"/>
        </w:tabs>
        <w:ind w:right="-5"/>
        <w:jc w:val="both"/>
        <w:rPr>
          <w:sz w:val="24"/>
        </w:rPr>
      </w:pPr>
    </w:p>
    <w:p w14:paraId="230905B9" w14:textId="77777777" w:rsidR="0030468F" w:rsidRDefault="0030468F" w:rsidP="0078632B">
      <w:pPr>
        <w:jc w:val="both"/>
        <w:rPr>
          <w:sz w:val="22"/>
          <w:szCs w:val="22"/>
        </w:rPr>
      </w:pPr>
    </w:p>
    <w:p w14:paraId="2C2D4301" w14:textId="70702D62" w:rsidR="0078632B" w:rsidRPr="00FD4994" w:rsidRDefault="00425891" w:rsidP="0078632B">
      <w:pPr>
        <w:jc w:val="both"/>
        <w:rPr>
          <w:sz w:val="22"/>
          <w:szCs w:val="22"/>
        </w:rPr>
      </w:pPr>
      <w:r w:rsidRPr="00FD4994">
        <w:rPr>
          <w:sz w:val="22"/>
          <w:szCs w:val="22"/>
          <w:lang w:val="tt"/>
        </w:rPr>
        <w:t>М.М. Хәсәнов</w:t>
      </w:r>
    </w:p>
    <w:p w14:paraId="5E979E2D" w14:textId="77777777" w:rsidR="00FD4994" w:rsidRDefault="00425891" w:rsidP="009E0197">
      <w:pPr>
        <w:jc w:val="both"/>
        <w:rPr>
          <w:sz w:val="22"/>
          <w:szCs w:val="22"/>
        </w:rPr>
        <w:sectPr w:rsidR="00FD4994" w:rsidSect="00FD4994">
          <w:pgSz w:w="11908" w:h="16838"/>
          <w:pgMar w:top="1134" w:right="1134" w:bottom="709" w:left="1134" w:header="720" w:footer="720" w:gutter="0"/>
          <w:cols w:space="708"/>
          <w:noEndnote/>
          <w:docGrid w:linePitch="381"/>
        </w:sectPr>
      </w:pPr>
      <w:r w:rsidRPr="00FD4994">
        <w:rPr>
          <w:sz w:val="22"/>
          <w:szCs w:val="22"/>
          <w:lang w:val="tt"/>
        </w:rPr>
        <w:t>5-49-40</w:t>
      </w:r>
    </w:p>
    <w:p w14:paraId="756E7397" w14:textId="2E207B69" w:rsidR="00535FEF" w:rsidRPr="00535FEF" w:rsidRDefault="00425891" w:rsidP="009C4571">
      <w:pPr>
        <w:rPr>
          <w:rFonts w:eastAsiaTheme="minorEastAsia" w:cs="Times New Roman"/>
          <w:sz w:val="24"/>
        </w:rPr>
      </w:pPr>
      <w:r>
        <w:rPr>
          <w:rFonts w:eastAsiaTheme="minorEastAsia" w:cs="Times New Roman"/>
          <w:sz w:val="24"/>
          <w:lang w:val="tt"/>
        </w:rPr>
        <w:lastRenderedPageBreak/>
        <w:t>«</w:t>
      </w:r>
      <w:r w:rsidRPr="00535FEF">
        <w:rPr>
          <w:rFonts w:eastAsiaTheme="minorEastAsia" w:cs="Times New Roman"/>
          <w:sz w:val="24"/>
          <w:lang w:val="tt"/>
        </w:rPr>
        <w:t xml:space="preserve">2021-2025 елларга Лениногорск муниципаль </w:t>
      </w:r>
      <w:r w:rsidRPr="00535FEF">
        <w:rPr>
          <w:rFonts w:eastAsiaTheme="minorEastAsia" w:cs="Times New Roman"/>
          <w:sz w:val="24"/>
          <w:lang w:val="tt"/>
        </w:rPr>
        <w:t>районында яшьләр сәясәтен үстерү</w:t>
      </w:r>
      <w:r>
        <w:rPr>
          <w:rFonts w:eastAsiaTheme="minorEastAsia" w:cs="Times New Roman"/>
          <w:sz w:val="24"/>
          <w:lang w:val="tt"/>
        </w:rPr>
        <w:t>»</w:t>
      </w:r>
      <w:r w:rsidRPr="00535FEF">
        <w:rPr>
          <w:rFonts w:eastAsiaTheme="minorEastAsia" w:cs="Times New Roman"/>
          <w:sz w:val="24"/>
          <w:lang w:val="tt"/>
        </w:rPr>
        <w:t xml:space="preserve"> муниципаль программасына 2 нче кушымта</w:t>
      </w:r>
    </w:p>
    <w:p w14:paraId="29554FC8" w14:textId="77777777" w:rsidR="00535FEF" w:rsidRPr="00535FEF" w:rsidRDefault="00535FEF" w:rsidP="00535FE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4CC2EF3" w14:textId="2FD8DC31" w:rsidR="00535FEF" w:rsidRPr="00535FEF" w:rsidRDefault="00425891" w:rsidP="009C4571">
      <w:pPr>
        <w:widowControl w:val="0"/>
        <w:autoSpaceDE w:val="0"/>
        <w:autoSpaceDN w:val="0"/>
        <w:adjustRightInd w:val="0"/>
        <w:outlineLvl w:val="0"/>
        <w:rPr>
          <w:rFonts w:eastAsiaTheme="minorEastAsia" w:cs="Times New Roman"/>
          <w:bCs/>
          <w:szCs w:val="28"/>
        </w:rPr>
      </w:pPr>
      <w:r>
        <w:rPr>
          <w:rFonts w:eastAsiaTheme="minorEastAsia" w:cs="Times New Roman"/>
          <w:bCs/>
          <w:szCs w:val="28"/>
          <w:lang w:val="tt"/>
        </w:rPr>
        <w:t>«</w:t>
      </w:r>
      <w:r w:rsidRPr="00535FEF">
        <w:rPr>
          <w:rFonts w:eastAsiaTheme="minorEastAsia" w:cs="Times New Roman"/>
          <w:bCs/>
          <w:szCs w:val="28"/>
          <w:lang w:val="tt"/>
        </w:rPr>
        <w:t>2021-2025 елларга Лениногорск муниципаль районында яшьләр сәясәтен үстерү</w:t>
      </w:r>
      <w:r>
        <w:rPr>
          <w:rFonts w:eastAsiaTheme="minorEastAsia" w:cs="Times New Roman"/>
          <w:bCs/>
          <w:szCs w:val="28"/>
          <w:lang w:val="tt"/>
        </w:rPr>
        <w:t>»</w:t>
      </w:r>
      <w:r w:rsidRPr="00535FEF">
        <w:rPr>
          <w:rFonts w:eastAsiaTheme="minorEastAsia" w:cs="Times New Roman"/>
          <w:bCs/>
          <w:szCs w:val="28"/>
          <w:lang w:val="tt"/>
        </w:rPr>
        <w:t xml:space="preserve"> муниципаль программасының максаты, бурычлары һәм финанславы </w:t>
      </w:r>
    </w:p>
    <w:p w14:paraId="1831E417" w14:textId="77777777" w:rsidR="00535FEF" w:rsidRPr="00535FEF" w:rsidRDefault="00535FEF" w:rsidP="00535FEF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sz w:val="24"/>
        </w:rPr>
      </w:pP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2554"/>
        <w:gridCol w:w="1701"/>
        <w:gridCol w:w="1559"/>
        <w:gridCol w:w="1276"/>
        <w:gridCol w:w="1134"/>
        <w:gridCol w:w="1134"/>
        <w:gridCol w:w="1134"/>
        <w:gridCol w:w="1134"/>
        <w:gridCol w:w="1134"/>
      </w:tblGrid>
      <w:tr w:rsidR="00417DFD" w14:paraId="422DC4D6" w14:textId="77777777" w:rsidTr="00E67BD6">
        <w:trPr>
          <w:cantSplit/>
          <w:trHeight w:val="1006"/>
          <w:tblHeader/>
        </w:trPr>
        <w:tc>
          <w:tcPr>
            <w:tcW w:w="567" w:type="dxa"/>
            <w:vMerge w:val="restart"/>
          </w:tcPr>
          <w:p w14:paraId="4D080897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  <w:p w14:paraId="483E7893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  <w:lang w:val="tt"/>
              </w:rPr>
              <w:t>№</w:t>
            </w:r>
          </w:p>
          <w:p w14:paraId="1FA47293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  <w:lang w:val="tt"/>
              </w:rPr>
              <w:t>т/н</w:t>
            </w:r>
          </w:p>
        </w:tc>
        <w:tc>
          <w:tcPr>
            <w:tcW w:w="1983" w:type="dxa"/>
            <w:vMerge w:val="restart"/>
            <w:vAlign w:val="center"/>
          </w:tcPr>
          <w:p w14:paraId="02CC3CB6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ind w:left="-98" w:right="31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  <w:lang w:val="tt"/>
              </w:rPr>
              <w:t>Максатның</w:t>
            </w:r>
          </w:p>
          <w:p w14:paraId="7041B448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ind w:left="-98" w:right="31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  <w:lang w:val="tt"/>
              </w:rPr>
              <w:t xml:space="preserve"> исеме</w:t>
            </w:r>
          </w:p>
        </w:tc>
        <w:tc>
          <w:tcPr>
            <w:tcW w:w="2554" w:type="dxa"/>
            <w:vMerge w:val="restart"/>
            <w:vAlign w:val="center"/>
          </w:tcPr>
          <w:p w14:paraId="23AE27C5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  <w:lang w:val="tt"/>
              </w:rPr>
              <w:t xml:space="preserve">Максатның </w:t>
            </w:r>
          </w:p>
          <w:p w14:paraId="6B38737A" w14:textId="1396848B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ind w:left="-98" w:right="34"/>
              <w:jc w:val="center"/>
              <w:rPr>
                <w:rFonts w:eastAsiaTheme="minorEastAsia" w:cs="Times New Roman"/>
                <w:sz w:val="24"/>
              </w:rPr>
            </w:pPr>
            <w:r>
              <w:rPr>
                <w:rFonts w:eastAsiaTheme="minorEastAsia" w:cs="Times New Roman"/>
                <w:sz w:val="24"/>
                <w:lang w:val="tt"/>
              </w:rPr>
              <w:t>б</w:t>
            </w:r>
            <w:r w:rsidRPr="00535FEF">
              <w:rPr>
                <w:rFonts w:eastAsiaTheme="minorEastAsia" w:cs="Times New Roman"/>
                <w:sz w:val="24"/>
                <w:lang w:val="tt"/>
              </w:rPr>
              <w:t>урычлары</w:t>
            </w:r>
          </w:p>
        </w:tc>
        <w:tc>
          <w:tcPr>
            <w:tcW w:w="1701" w:type="dxa"/>
            <w:vMerge w:val="restart"/>
          </w:tcPr>
          <w:p w14:paraId="6FB2F106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  <w:lang w:val="tt"/>
              </w:rPr>
              <w:t>Башкаручылар</w:t>
            </w:r>
          </w:p>
        </w:tc>
        <w:tc>
          <w:tcPr>
            <w:tcW w:w="1559" w:type="dxa"/>
            <w:vMerge w:val="restart"/>
            <w:vAlign w:val="center"/>
          </w:tcPr>
          <w:p w14:paraId="3ED56DFD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  <w:lang w:val="tt"/>
              </w:rPr>
              <w:t>Төп чараларны</w:t>
            </w:r>
          </w:p>
          <w:p w14:paraId="1CE951AA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  <w:lang w:val="tt"/>
              </w:rPr>
              <w:t>башкару вакыты,</w:t>
            </w:r>
          </w:p>
          <w:p w14:paraId="3DEE9690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  <w:lang w:val="tt"/>
              </w:rPr>
              <w:t>еллар</w:t>
            </w:r>
          </w:p>
        </w:tc>
        <w:tc>
          <w:tcPr>
            <w:tcW w:w="1276" w:type="dxa"/>
            <w:vMerge w:val="restart"/>
            <w:vAlign w:val="center"/>
          </w:tcPr>
          <w:p w14:paraId="0512E7CF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  <w:lang w:val="tt"/>
              </w:rPr>
              <w:t xml:space="preserve">Финанслау </w:t>
            </w:r>
            <w:r w:rsidRPr="00535FEF">
              <w:rPr>
                <w:rFonts w:eastAsiaTheme="minorEastAsia" w:cs="Times New Roman"/>
                <w:sz w:val="24"/>
                <w:lang w:val="tt"/>
              </w:rPr>
              <w:t>чыганагы</w:t>
            </w:r>
          </w:p>
        </w:tc>
        <w:tc>
          <w:tcPr>
            <w:tcW w:w="5670" w:type="dxa"/>
            <w:gridSpan w:val="5"/>
          </w:tcPr>
          <w:p w14:paraId="4153AD57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Финанслау (мең сум), финанслау чыганаклары</w:t>
            </w:r>
          </w:p>
        </w:tc>
      </w:tr>
      <w:tr w:rsidR="00417DFD" w14:paraId="407EB7C6" w14:textId="77777777" w:rsidTr="00E67BD6">
        <w:trPr>
          <w:cantSplit/>
          <w:trHeight w:val="427"/>
          <w:tblHeader/>
        </w:trPr>
        <w:tc>
          <w:tcPr>
            <w:tcW w:w="567" w:type="dxa"/>
            <w:vMerge/>
          </w:tcPr>
          <w:p w14:paraId="70E52499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983" w:type="dxa"/>
            <w:vMerge/>
          </w:tcPr>
          <w:p w14:paraId="21BA0023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98" w:right="-31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</w:tcPr>
          <w:p w14:paraId="77A4109C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6C1E1EF7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A96D1F4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70170F4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134" w:type="dxa"/>
          </w:tcPr>
          <w:p w14:paraId="3D572F63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2021</w:t>
            </w:r>
          </w:p>
        </w:tc>
        <w:tc>
          <w:tcPr>
            <w:tcW w:w="1134" w:type="dxa"/>
          </w:tcPr>
          <w:p w14:paraId="54C1AE46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2022</w:t>
            </w:r>
          </w:p>
        </w:tc>
        <w:tc>
          <w:tcPr>
            <w:tcW w:w="1134" w:type="dxa"/>
          </w:tcPr>
          <w:p w14:paraId="25478DF2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2023</w:t>
            </w:r>
          </w:p>
        </w:tc>
        <w:tc>
          <w:tcPr>
            <w:tcW w:w="1134" w:type="dxa"/>
          </w:tcPr>
          <w:p w14:paraId="451D4093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2024</w:t>
            </w:r>
          </w:p>
        </w:tc>
        <w:tc>
          <w:tcPr>
            <w:tcW w:w="1134" w:type="dxa"/>
          </w:tcPr>
          <w:p w14:paraId="0E432212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2025</w:t>
            </w:r>
          </w:p>
        </w:tc>
      </w:tr>
      <w:tr w:rsidR="00417DFD" w14:paraId="626BF6F7" w14:textId="77777777" w:rsidTr="00E67BD6">
        <w:trPr>
          <w:trHeight w:val="1898"/>
        </w:trPr>
        <w:tc>
          <w:tcPr>
            <w:tcW w:w="567" w:type="dxa"/>
            <w:vMerge w:val="restart"/>
          </w:tcPr>
          <w:p w14:paraId="585CF95A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1.</w:t>
            </w:r>
          </w:p>
        </w:tc>
        <w:tc>
          <w:tcPr>
            <w:tcW w:w="1983" w:type="dxa"/>
            <w:vMerge w:val="restart"/>
          </w:tcPr>
          <w:p w14:paraId="01D6C40C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ind w:left="-108" w:right="31" w:firstLine="108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  <w:lang w:val="tt"/>
              </w:rPr>
              <w:t>Дәүләт яшьләр сәясәте программасын гамәлгә ашыру.</w:t>
            </w:r>
          </w:p>
        </w:tc>
        <w:tc>
          <w:tcPr>
            <w:tcW w:w="2554" w:type="dxa"/>
            <w:vMerge w:val="restart"/>
          </w:tcPr>
          <w:p w14:paraId="272BA560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  <w:lang w:val="tt"/>
              </w:rPr>
              <w:t xml:space="preserve">Яшьләрнең социаль үсеше белән идарә итү, районның конкурентлык сәләтен ныгытуда аның иҗади </w:t>
            </w:r>
            <w:r w:rsidRPr="00535FEF">
              <w:rPr>
                <w:rFonts w:eastAsiaTheme="minorEastAsia" w:cs="Times New Roman"/>
                <w:sz w:val="24"/>
                <w:lang w:val="tt"/>
              </w:rPr>
              <w:t>потенциалыннан файдалану, яшь буынның тормыш сыйфатын яхшырту өчен уңай шартлар тәэмин итү.</w:t>
            </w:r>
          </w:p>
        </w:tc>
        <w:tc>
          <w:tcPr>
            <w:tcW w:w="1701" w:type="dxa"/>
            <w:vMerge w:val="restart"/>
          </w:tcPr>
          <w:p w14:paraId="50742360" w14:textId="3D6D8B4E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>
              <w:rPr>
                <w:rFonts w:eastAsiaTheme="minorEastAsia" w:cs="Times New Roman"/>
                <w:sz w:val="24"/>
                <w:lang w:val="tt"/>
              </w:rPr>
              <w:t>«</w:t>
            </w:r>
            <w:r w:rsidRPr="00535FEF">
              <w:rPr>
                <w:rFonts w:eastAsiaTheme="minorEastAsia" w:cs="Times New Roman"/>
                <w:sz w:val="24"/>
                <w:lang w:val="tt"/>
              </w:rPr>
              <w:t>Яшьләр эшләре, спорт һәи туризм идарәсе</w:t>
            </w:r>
            <w:r>
              <w:rPr>
                <w:rFonts w:eastAsiaTheme="minorEastAsia" w:cs="Times New Roman"/>
                <w:sz w:val="24"/>
                <w:lang w:val="tt"/>
              </w:rPr>
              <w:t>»</w:t>
            </w:r>
            <w:r w:rsidRPr="00535FEF">
              <w:rPr>
                <w:rFonts w:eastAsiaTheme="minorEastAsia" w:cs="Times New Roman"/>
                <w:sz w:val="24"/>
                <w:lang w:val="tt"/>
              </w:rPr>
              <w:t xml:space="preserve"> МКУ</w:t>
            </w:r>
          </w:p>
          <w:p w14:paraId="127E0001" w14:textId="29E6A1B4" w:rsidR="00535FEF" w:rsidRPr="00535FEF" w:rsidRDefault="00425891" w:rsidP="00535FEF">
            <w:pPr>
              <w:jc w:val="center"/>
              <w:rPr>
                <w:rFonts w:eastAsiaTheme="minorEastAsia" w:cs="Times New Roman"/>
                <w:sz w:val="24"/>
              </w:rPr>
            </w:pPr>
            <w:r>
              <w:rPr>
                <w:rFonts w:eastAsiaTheme="minorEastAsia" w:cs="Times New Roman"/>
                <w:sz w:val="24"/>
                <w:lang w:val="tt"/>
              </w:rPr>
              <w:t>«</w:t>
            </w:r>
            <w:r w:rsidRPr="00535FEF">
              <w:rPr>
                <w:rFonts w:eastAsiaTheme="minorEastAsia" w:cs="Times New Roman"/>
                <w:sz w:val="24"/>
                <w:lang w:val="tt"/>
              </w:rPr>
              <w:t>Мәгариф идарәсе</w:t>
            </w:r>
            <w:r>
              <w:rPr>
                <w:rFonts w:eastAsiaTheme="minorEastAsia" w:cs="Times New Roman"/>
                <w:sz w:val="24"/>
                <w:lang w:val="tt"/>
              </w:rPr>
              <w:t>»</w:t>
            </w:r>
            <w:r w:rsidRPr="00535FEF">
              <w:rPr>
                <w:rFonts w:eastAsiaTheme="minorEastAsia" w:cs="Times New Roman"/>
                <w:sz w:val="24"/>
                <w:lang w:val="tt"/>
              </w:rPr>
              <w:t xml:space="preserve"> МКУ</w:t>
            </w:r>
          </w:p>
          <w:p w14:paraId="06D2EFF2" w14:textId="67625929" w:rsidR="00535FEF" w:rsidRPr="00535FEF" w:rsidRDefault="00425891" w:rsidP="00535FEF">
            <w:pPr>
              <w:jc w:val="center"/>
              <w:rPr>
                <w:rFonts w:eastAsiaTheme="minorEastAsia" w:cs="Times New Roman"/>
                <w:sz w:val="24"/>
              </w:rPr>
            </w:pPr>
            <w:r>
              <w:rPr>
                <w:rFonts w:eastAsiaTheme="minorEastAsia" w:cs="Times New Roman"/>
                <w:sz w:val="24"/>
                <w:lang w:val="tt"/>
              </w:rPr>
              <w:t>«</w:t>
            </w:r>
            <w:r w:rsidRPr="00535FEF">
              <w:rPr>
                <w:rFonts w:eastAsiaTheme="minorEastAsia" w:cs="Times New Roman"/>
                <w:sz w:val="24"/>
                <w:lang w:val="tt"/>
              </w:rPr>
              <w:t>Мәдәният идарәсе</w:t>
            </w:r>
            <w:r>
              <w:rPr>
                <w:rFonts w:eastAsiaTheme="minorEastAsia" w:cs="Times New Roman"/>
                <w:sz w:val="24"/>
                <w:lang w:val="tt"/>
              </w:rPr>
              <w:t>»</w:t>
            </w:r>
            <w:r w:rsidRPr="00535FEF">
              <w:rPr>
                <w:rFonts w:eastAsiaTheme="minorEastAsia" w:cs="Times New Roman"/>
                <w:sz w:val="24"/>
                <w:lang w:val="tt"/>
              </w:rPr>
              <w:t xml:space="preserve"> МКУ, уку йортлары, шәһәр предприятиеләре һәм оешмалары</w:t>
            </w:r>
          </w:p>
          <w:p w14:paraId="654BD8A0" w14:textId="77777777" w:rsidR="00535FEF" w:rsidRPr="00535FEF" w:rsidRDefault="00535FEF" w:rsidP="00535FEF">
            <w:pPr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 w:val="restart"/>
          </w:tcPr>
          <w:p w14:paraId="29C2576E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  <w:lang w:val="tt"/>
              </w:rPr>
              <w:t>2021-2025</w:t>
            </w:r>
          </w:p>
        </w:tc>
        <w:tc>
          <w:tcPr>
            <w:tcW w:w="1276" w:type="dxa"/>
          </w:tcPr>
          <w:p w14:paraId="1FA0E09E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  <w:lang w:val="tt"/>
              </w:rPr>
              <w:t>МБ</w:t>
            </w:r>
          </w:p>
        </w:tc>
        <w:tc>
          <w:tcPr>
            <w:tcW w:w="1134" w:type="dxa"/>
          </w:tcPr>
          <w:p w14:paraId="79D5D613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13804,48</w:t>
            </w:r>
          </w:p>
          <w:p w14:paraId="1B829E73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14:paraId="7D056BE1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14:paraId="5408893A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14876,11</w:t>
            </w:r>
          </w:p>
          <w:p w14:paraId="668564E3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14:paraId="267C4B1B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14:paraId="095A2134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14820,70</w:t>
            </w:r>
          </w:p>
          <w:p w14:paraId="61B88BEC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14:paraId="7FDCDA3C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14:paraId="56AD3984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14885,10</w:t>
            </w:r>
          </w:p>
          <w:p w14:paraId="4E845166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14:paraId="453384BB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14939,0</w:t>
            </w:r>
          </w:p>
          <w:p w14:paraId="6477C922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</w:tr>
      <w:tr w:rsidR="00417DFD" w14:paraId="248748F3" w14:textId="77777777" w:rsidTr="00E67BD6">
        <w:trPr>
          <w:trHeight w:val="1557"/>
        </w:trPr>
        <w:tc>
          <w:tcPr>
            <w:tcW w:w="567" w:type="dxa"/>
            <w:vMerge/>
          </w:tcPr>
          <w:p w14:paraId="62EE44DC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983" w:type="dxa"/>
            <w:vMerge/>
          </w:tcPr>
          <w:p w14:paraId="69D491AC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31" w:firstLine="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</w:tcPr>
          <w:p w14:paraId="1AE566F4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6DAB4E98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</w:tcPr>
          <w:p w14:paraId="5FF300A6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</w:tcPr>
          <w:p w14:paraId="086CBBA5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  <w:lang w:val="tt"/>
              </w:rPr>
              <w:t xml:space="preserve">Внб </w:t>
            </w:r>
          </w:p>
        </w:tc>
        <w:tc>
          <w:tcPr>
            <w:tcW w:w="1134" w:type="dxa"/>
          </w:tcPr>
          <w:p w14:paraId="4E676C87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422,78</w:t>
            </w:r>
          </w:p>
        </w:tc>
        <w:tc>
          <w:tcPr>
            <w:tcW w:w="1134" w:type="dxa"/>
          </w:tcPr>
          <w:p w14:paraId="70BB4ABC" w14:textId="77777777" w:rsidR="00535FEF" w:rsidRPr="00535FEF" w:rsidRDefault="00425891" w:rsidP="00535FEF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276,0</w:t>
            </w:r>
          </w:p>
        </w:tc>
        <w:tc>
          <w:tcPr>
            <w:tcW w:w="1134" w:type="dxa"/>
          </w:tcPr>
          <w:p w14:paraId="5C2F0A60" w14:textId="77777777" w:rsidR="00535FEF" w:rsidRPr="00535FEF" w:rsidRDefault="00425891" w:rsidP="00535FEF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276,0</w:t>
            </w:r>
          </w:p>
        </w:tc>
        <w:tc>
          <w:tcPr>
            <w:tcW w:w="1134" w:type="dxa"/>
          </w:tcPr>
          <w:p w14:paraId="13ADFD4A" w14:textId="77777777" w:rsidR="00535FEF" w:rsidRPr="00535FEF" w:rsidRDefault="00425891" w:rsidP="00535FEF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276,0</w:t>
            </w:r>
          </w:p>
        </w:tc>
        <w:tc>
          <w:tcPr>
            <w:tcW w:w="1134" w:type="dxa"/>
          </w:tcPr>
          <w:p w14:paraId="14DAAF64" w14:textId="77777777" w:rsidR="00535FEF" w:rsidRPr="00535FEF" w:rsidRDefault="00425891" w:rsidP="00535FEF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276,0</w:t>
            </w:r>
          </w:p>
        </w:tc>
      </w:tr>
      <w:tr w:rsidR="00417DFD" w14:paraId="3D1144AA" w14:textId="77777777" w:rsidTr="00E67BD6">
        <w:trPr>
          <w:trHeight w:val="427"/>
        </w:trPr>
        <w:tc>
          <w:tcPr>
            <w:tcW w:w="567" w:type="dxa"/>
            <w:vMerge/>
          </w:tcPr>
          <w:p w14:paraId="75065FE6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4"/>
              </w:rPr>
            </w:pPr>
          </w:p>
        </w:tc>
        <w:tc>
          <w:tcPr>
            <w:tcW w:w="1983" w:type="dxa"/>
            <w:vMerge/>
          </w:tcPr>
          <w:p w14:paraId="109A01A7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</w:tcPr>
          <w:p w14:paraId="7F3E2A52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0EEA9702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</w:tcPr>
          <w:p w14:paraId="58AFEE15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04D8AF8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="Times New Roman"/>
                <w:sz w:val="24"/>
              </w:rPr>
            </w:pPr>
            <w:r w:rsidRPr="00535FEF">
              <w:rPr>
                <w:rFonts w:eastAsiaTheme="minorEastAsia" w:cs="Times New Roman"/>
                <w:sz w:val="24"/>
                <w:lang w:val="tt"/>
              </w:rPr>
              <w:t>Барлыгы</w:t>
            </w:r>
          </w:p>
        </w:tc>
        <w:tc>
          <w:tcPr>
            <w:tcW w:w="1134" w:type="dxa"/>
            <w:vAlign w:val="center"/>
          </w:tcPr>
          <w:p w14:paraId="69D94926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FD816CA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EF1103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6C5A77" w14:textId="77777777" w:rsidR="00535FEF" w:rsidRPr="00535FEF" w:rsidRDefault="00535FEF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D72773" w14:textId="77777777" w:rsidR="00535FEF" w:rsidRPr="00535FEF" w:rsidRDefault="00425891" w:rsidP="00535F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35FEF">
              <w:rPr>
                <w:rFonts w:eastAsiaTheme="minorEastAsia" w:cs="Times New Roman"/>
                <w:bCs/>
                <w:sz w:val="24"/>
                <w:lang w:val="tt"/>
              </w:rPr>
              <w:t>78452,17</w:t>
            </w:r>
          </w:p>
        </w:tc>
      </w:tr>
    </w:tbl>
    <w:p w14:paraId="5A840396" w14:textId="77777777" w:rsidR="00535FEF" w:rsidRPr="00535FEF" w:rsidRDefault="00535FEF" w:rsidP="00535FE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5F704B10" w14:textId="0ECCB710" w:rsidR="00B847CA" w:rsidRPr="00FD4994" w:rsidRDefault="00B847CA" w:rsidP="009E0197">
      <w:pPr>
        <w:jc w:val="both"/>
        <w:rPr>
          <w:sz w:val="22"/>
          <w:szCs w:val="22"/>
        </w:rPr>
      </w:pPr>
    </w:p>
    <w:sectPr w:rsidR="00B847CA" w:rsidRPr="00FD4994" w:rsidSect="007970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934A0"/>
    <w:multiLevelType w:val="multilevel"/>
    <w:tmpl w:val="276A85F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2B"/>
    <w:rsid w:val="00042243"/>
    <w:rsid w:val="002E42EB"/>
    <w:rsid w:val="0030468F"/>
    <w:rsid w:val="00417DFD"/>
    <w:rsid w:val="00425891"/>
    <w:rsid w:val="004741E2"/>
    <w:rsid w:val="00482BA1"/>
    <w:rsid w:val="004D5E49"/>
    <w:rsid w:val="00535FEF"/>
    <w:rsid w:val="00575DD5"/>
    <w:rsid w:val="005E55E4"/>
    <w:rsid w:val="006424F0"/>
    <w:rsid w:val="006B73C8"/>
    <w:rsid w:val="00701B19"/>
    <w:rsid w:val="0078632B"/>
    <w:rsid w:val="007A5055"/>
    <w:rsid w:val="007C7CEE"/>
    <w:rsid w:val="0081141C"/>
    <w:rsid w:val="00822319"/>
    <w:rsid w:val="00897D78"/>
    <w:rsid w:val="009C4571"/>
    <w:rsid w:val="009E0197"/>
    <w:rsid w:val="00A06621"/>
    <w:rsid w:val="00A548D4"/>
    <w:rsid w:val="00B847CA"/>
    <w:rsid w:val="00BF51C4"/>
    <w:rsid w:val="00D045AD"/>
    <w:rsid w:val="00DC5D95"/>
    <w:rsid w:val="00E27376"/>
    <w:rsid w:val="00E72402"/>
    <w:rsid w:val="00EA3E52"/>
    <w:rsid w:val="00F438A5"/>
    <w:rsid w:val="00FA1291"/>
    <w:rsid w:val="00FD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8088"/>
  <w15:docId w15:val="{971B8F0E-0A57-44D7-9613-C6251CE7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32B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32B"/>
    <w:pPr>
      <w:ind w:left="720"/>
      <w:contextualSpacing/>
    </w:pPr>
  </w:style>
  <w:style w:type="table" w:styleId="a4">
    <w:name w:val="Table Grid"/>
    <w:basedOn w:val="a1"/>
    <w:uiPriority w:val="59"/>
    <w:rsid w:val="00535F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42589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UDMS</dc:creator>
  <cp:lastModifiedBy>Специалист СМИ</cp:lastModifiedBy>
  <cp:revision>2</cp:revision>
  <cp:lastPrinted>2023-02-10T06:27:00Z</cp:lastPrinted>
  <dcterms:created xsi:type="dcterms:W3CDTF">2023-02-28T08:03:00Z</dcterms:created>
  <dcterms:modified xsi:type="dcterms:W3CDTF">2023-02-28T08:03:00Z</dcterms:modified>
</cp:coreProperties>
</file>