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80" w:rsidRPr="0075327C" w:rsidRDefault="009F1680" w:rsidP="00B8276B">
      <w:pPr>
        <w:tabs>
          <w:tab w:val="left" w:pos="3402"/>
        </w:tabs>
        <w:ind w:right="6236"/>
        <w:jc w:val="both"/>
        <w:rPr>
          <w:rFonts w:ascii="Times New Roman" w:hAnsi="Times New Roman" w:cs="Times New Roman"/>
          <w:sz w:val="26"/>
          <w:szCs w:val="26"/>
        </w:rPr>
      </w:pPr>
    </w:p>
    <w:p w:rsidR="009F1680" w:rsidRPr="00C4187D" w:rsidRDefault="009F1680" w:rsidP="00B8276B">
      <w:pPr>
        <w:tabs>
          <w:tab w:val="left" w:pos="3402"/>
        </w:tabs>
        <w:ind w:right="623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1680" w:rsidRPr="0075327C" w:rsidRDefault="009F168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5327C">
        <w:rPr>
          <w:rFonts w:ascii="Times New Roman" w:hAnsi="Times New Roman"/>
          <w:sz w:val="28"/>
          <w:szCs w:val="28"/>
        </w:rPr>
        <w:t>К А Р А Р</w:t>
      </w:r>
    </w:p>
    <w:p w:rsidR="009F1680" w:rsidRPr="0075327C" w:rsidRDefault="009F168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F1680" w:rsidRPr="0075327C" w:rsidRDefault="009F168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5327C">
        <w:rPr>
          <w:rFonts w:ascii="Times New Roman" w:hAnsi="Times New Roman"/>
          <w:sz w:val="28"/>
          <w:szCs w:val="28"/>
        </w:rPr>
        <w:t>П О С Т А Н О В Л Е Н И Е          № 576</w:t>
      </w:r>
    </w:p>
    <w:p w:rsidR="009F1680" w:rsidRPr="0075327C" w:rsidRDefault="009F168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F1680" w:rsidRPr="0075327C" w:rsidRDefault="009F1680" w:rsidP="00866F58">
      <w:pPr>
        <w:rPr>
          <w:rFonts w:ascii="Times New Roman" w:hAnsi="Times New Roman"/>
          <w:b/>
          <w:bCs/>
          <w:sz w:val="26"/>
          <w:szCs w:val="26"/>
        </w:rPr>
      </w:pPr>
      <w:r w:rsidRPr="0075327C">
        <w:rPr>
          <w:rFonts w:ascii="Times New Roman" w:hAnsi="Times New Roman"/>
          <w:sz w:val="28"/>
          <w:szCs w:val="28"/>
        </w:rPr>
        <w:t xml:space="preserve">                               </w:t>
      </w:r>
      <w:r w:rsidR="00583938">
        <w:rPr>
          <w:rFonts w:ascii="Times New Roman" w:hAnsi="Times New Roman"/>
          <w:sz w:val="28"/>
          <w:szCs w:val="28"/>
        </w:rPr>
        <w:t xml:space="preserve">                              </w:t>
      </w:r>
      <w:r w:rsidR="00583938">
        <w:rPr>
          <w:rFonts w:ascii="Times New Roman" w:hAnsi="Times New Roman"/>
          <w:sz w:val="28"/>
          <w:szCs w:val="28"/>
          <w:lang w:val="tt-RU"/>
        </w:rPr>
        <w:t>2022 елның</w:t>
      </w:r>
      <w:r w:rsidR="00583938">
        <w:rPr>
          <w:rFonts w:ascii="Times New Roman" w:hAnsi="Times New Roman"/>
          <w:sz w:val="28"/>
          <w:szCs w:val="28"/>
        </w:rPr>
        <w:t xml:space="preserve"> «20» июне</w:t>
      </w:r>
    </w:p>
    <w:p w:rsidR="009F1680" w:rsidRDefault="009F1680" w:rsidP="00B8276B">
      <w:pPr>
        <w:tabs>
          <w:tab w:val="left" w:pos="3402"/>
        </w:tabs>
        <w:ind w:right="6236"/>
        <w:jc w:val="both"/>
        <w:rPr>
          <w:rFonts w:ascii="Times New Roman" w:hAnsi="Times New Roman" w:cs="Times New Roman"/>
          <w:sz w:val="26"/>
          <w:szCs w:val="26"/>
        </w:rPr>
      </w:pPr>
    </w:p>
    <w:p w:rsidR="009F1680" w:rsidRDefault="009F1680" w:rsidP="00B8276B">
      <w:pPr>
        <w:tabs>
          <w:tab w:val="left" w:pos="3402"/>
        </w:tabs>
        <w:ind w:right="6236"/>
        <w:jc w:val="both"/>
        <w:rPr>
          <w:rFonts w:ascii="Times New Roman" w:hAnsi="Times New Roman" w:cs="Times New Roman"/>
          <w:sz w:val="26"/>
          <w:szCs w:val="26"/>
        </w:rPr>
      </w:pPr>
    </w:p>
    <w:p w:rsidR="00583938" w:rsidRDefault="00583938" w:rsidP="009F1680">
      <w:pPr>
        <w:tabs>
          <w:tab w:val="left" w:pos="3402"/>
        </w:tabs>
        <w:spacing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39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8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938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58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938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583938">
        <w:rPr>
          <w:rFonts w:ascii="Times New Roman" w:hAnsi="Times New Roman" w:cs="Times New Roman"/>
          <w:sz w:val="28"/>
          <w:szCs w:val="28"/>
        </w:rPr>
        <w:t xml:space="preserve"> </w:t>
      </w:r>
      <w:r w:rsidR="00224535">
        <w:rPr>
          <w:rFonts w:ascii="Times New Roman" w:hAnsi="Times New Roman" w:cs="Times New Roman"/>
          <w:sz w:val="28"/>
          <w:szCs w:val="28"/>
          <w:lang w:val="tt-RU"/>
        </w:rPr>
        <w:t>шартнамәс</w:t>
      </w:r>
      <w:r w:rsidRPr="00583938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583938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58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938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Pr="00583938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583938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58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93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224535" w:rsidRPr="00224535" w:rsidRDefault="00224535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мөлкәттән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файдалануның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нәтиҗәлелеген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сатуларның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ачыклыгын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бюджетка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керүне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Гражданлык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606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>,</w:t>
      </w:r>
      <w:r w:rsidRPr="00224535">
        <w:t xml:space="preserve"> </w:t>
      </w:r>
      <w:r w:rsidRPr="00224535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закон, «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Көндәшлекне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турында»2006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135-ФЗ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закон,</w:t>
      </w:r>
      <w:r w:rsidRPr="00224535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224535">
        <w:rPr>
          <w:rFonts w:ascii="Times New Roman" w:hAnsi="Times New Roman" w:cs="Times New Roman"/>
          <w:sz w:val="28"/>
          <w:szCs w:val="28"/>
        </w:rPr>
        <w:t>онополиягә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хезмәтнең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2010 елның 10 февралендәге</w:t>
      </w:r>
      <w:r w:rsidRPr="00224535">
        <w:rPr>
          <w:rFonts w:ascii="Times New Roman" w:hAnsi="Times New Roman" w:cs="Times New Roman"/>
          <w:sz w:val="28"/>
          <w:szCs w:val="28"/>
        </w:rPr>
        <w:t xml:space="preserve"> 67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24535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милеккә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шартнамәләрен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, аренда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шартнамәләрен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түләүсез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шартнамәләрен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ышанычлы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шартнамәләрен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, башка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шартнамәләрне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конкурслар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аукционнар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шартнамәләрне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ашырылырга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төрләре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турында»гы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боерыгы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>,</w:t>
      </w:r>
      <w:r w:rsidRPr="00224535">
        <w:t xml:space="preserve"> </w:t>
      </w:r>
      <w:r w:rsidRPr="00224535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24535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мөлкәтен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түләвенең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ставкалары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) кече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биләүгә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исемлегенә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кишәрлекләреннән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арендага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аренда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түләвенең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ставкалары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3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245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2016 елның 26 октябрендәге 94 номерлыкарары нигезендә, Татарстан Республикасы </w:t>
      </w:r>
      <w:r w:rsidRPr="00224535">
        <w:rPr>
          <w:rFonts w:ascii="Times New Roman" w:hAnsi="Times New Roman" w:cs="Times New Roman"/>
          <w:sz w:val="28"/>
          <w:szCs w:val="28"/>
        </w:rPr>
        <w:t>«</w:t>
      </w:r>
      <w:r w:rsidRPr="00224535">
        <w:rPr>
          <w:rFonts w:ascii="Times New Roman" w:hAnsi="Times New Roman" w:cs="Times New Roman"/>
          <w:sz w:val="28"/>
          <w:szCs w:val="28"/>
          <w:lang w:val="tt-RU"/>
        </w:rPr>
        <w:t>Лениногорск муниципаль районы</w:t>
      </w:r>
      <w:r w:rsidRPr="002245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 Башкарма комитеты КАРАР БИРӘ:</w:t>
      </w:r>
    </w:p>
    <w:p w:rsidR="00224535" w:rsidRDefault="00224535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32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5320" w:rsidRPr="00835320">
        <w:t xml:space="preserve"> </w:t>
      </w:r>
      <w:r w:rsidR="00835320" w:rsidRPr="0083532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(кече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lastRenderedPageBreak/>
        <w:t>субъектларының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хокукларыннан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шартнамәлә</w:t>
      </w:r>
      <w:r w:rsidR="00835320">
        <w:rPr>
          <w:rFonts w:ascii="Times New Roman" w:hAnsi="Times New Roman" w:cs="Times New Roman"/>
          <w:sz w:val="28"/>
          <w:szCs w:val="28"/>
        </w:rPr>
        <w:t>рен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үткәрергә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>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5320" w:rsidRPr="00835320"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Сатуларны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берәм</w:t>
      </w:r>
      <w:r w:rsidR="00835320">
        <w:rPr>
          <w:rFonts w:ascii="Times New Roman" w:hAnsi="Times New Roman" w:cs="Times New Roman"/>
          <w:sz w:val="28"/>
          <w:szCs w:val="28"/>
        </w:rPr>
        <w:t>легенең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М</w:t>
      </w:r>
      <w:r w:rsidR="00835320" w:rsidRPr="00835320">
        <w:rPr>
          <w:rFonts w:ascii="Times New Roman" w:hAnsi="Times New Roman" w:cs="Times New Roman"/>
          <w:sz w:val="28"/>
          <w:szCs w:val="28"/>
        </w:rPr>
        <w:t>өлкәт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торгларны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>)</w:t>
      </w:r>
      <w:r w:rsidR="0083532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казна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учреждениесе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>: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.</w:t>
      </w:r>
      <w:r w:rsidR="008378DF" w:rsidRPr="009F1680">
        <w:rPr>
          <w:rFonts w:ascii="Times New Roman" w:hAnsi="Times New Roman" w:cs="Times New Roman"/>
          <w:sz w:val="28"/>
          <w:szCs w:val="28"/>
        </w:rPr>
        <w:t>Организатору торгов о</w:t>
      </w:r>
      <w:r w:rsidR="00FB1A76" w:rsidRPr="009F1680">
        <w:rPr>
          <w:rFonts w:ascii="Times New Roman" w:hAnsi="Times New Roman" w:cs="Times New Roman"/>
          <w:sz w:val="28"/>
          <w:szCs w:val="28"/>
        </w:rPr>
        <w:t xml:space="preserve">беспечить опубликование извещения о проведении торгов на официальном сайте </w:t>
      </w:r>
      <w:r w:rsidR="009D0EE4" w:rsidRPr="009F1680">
        <w:rPr>
          <w:rFonts w:ascii="Times New Roman" w:hAnsi="Times New Roman" w:cs="Times New Roman"/>
          <w:sz w:val="28"/>
          <w:szCs w:val="28"/>
        </w:rPr>
        <w:t>Российской Федерации в сети Интернет для размещения информации о проведении торгов, определенном Постановлением Правительства Российской Федерации от 10.09.2012 №</w:t>
      </w:r>
      <w:r w:rsidR="009D0EE4" w:rsidRPr="009F1680">
        <w:rPr>
          <w:sz w:val="28"/>
          <w:szCs w:val="28"/>
        </w:rPr>
        <w:t> </w:t>
      </w:r>
      <w:r w:rsidR="009D0EE4" w:rsidRPr="009F1680">
        <w:rPr>
          <w:rFonts w:ascii="Times New Roman" w:hAnsi="Times New Roman" w:cs="Times New Roman"/>
          <w:sz w:val="28"/>
          <w:szCs w:val="28"/>
        </w:rPr>
        <w:t xml:space="preserve">909 - </w:t>
      </w:r>
      <w:hyperlink r:id="rId6" w:history="1"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378DF" w:rsidRPr="009F1680">
        <w:rPr>
          <w:rFonts w:ascii="Times New Roman" w:hAnsi="Times New Roman" w:cs="Times New Roman"/>
          <w:sz w:val="28"/>
          <w:szCs w:val="28"/>
        </w:rPr>
        <w:t xml:space="preserve"> и </w:t>
      </w:r>
      <w:r w:rsidR="009D0EE4" w:rsidRPr="009F1680">
        <w:rPr>
          <w:rFonts w:ascii="Times New Roman" w:hAnsi="Times New Roman" w:cs="Times New Roman"/>
          <w:sz w:val="28"/>
          <w:szCs w:val="28"/>
        </w:rPr>
        <w:t xml:space="preserve">на электронной площадке акционерного общества «Агентство по государственному заказу Республики Татарстан» </w:t>
      </w:r>
      <w:r w:rsidR="009D0EE4" w:rsidRPr="009F1680">
        <w:rPr>
          <w:rFonts w:ascii="Times New Roman" w:hAnsi="Times New Roman" w:cs="Times New Roman"/>
          <w:sz w:val="28"/>
          <w:szCs w:val="28"/>
          <w:u w:val="single"/>
          <w:lang w:val="en-US"/>
        </w:rPr>
        <w:t>sale</w:t>
      </w:r>
      <w:r w:rsidR="009D0EE4" w:rsidRPr="009F168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9D0EE4" w:rsidRPr="009F1680">
        <w:rPr>
          <w:rFonts w:ascii="Times New Roman" w:hAnsi="Times New Roman" w:cs="Times New Roman"/>
          <w:sz w:val="28"/>
          <w:szCs w:val="28"/>
          <w:u w:val="single"/>
          <w:lang w:val="en-US"/>
        </w:rPr>
        <w:t>zakazrf</w:t>
      </w:r>
      <w:proofErr w:type="spellEnd"/>
      <w:r w:rsidR="009D0EE4" w:rsidRPr="009F168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9D0EE4" w:rsidRPr="009F168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9D0EE4" w:rsidRPr="009F1680">
        <w:rPr>
          <w:rFonts w:ascii="Times New Roman" w:hAnsi="Times New Roman" w:cs="Times New Roman"/>
          <w:sz w:val="28"/>
          <w:szCs w:val="28"/>
          <w:u w:val="single"/>
        </w:rPr>
        <w:t>.</w:t>
      </w:r>
    </w:p>
    <w:bookmarkEnd w:id="0"/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680">
        <w:rPr>
          <w:rFonts w:ascii="Times New Roman" w:hAnsi="Times New Roman" w:cs="Times New Roman"/>
          <w:sz w:val="28"/>
          <w:szCs w:val="28"/>
        </w:rPr>
        <w:t>3.</w:t>
      </w:r>
      <w:r w:rsidR="009D0EE4" w:rsidRPr="009F1680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9D0EE4" w:rsidRPr="009F1680">
        <w:rPr>
          <w:rFonts w:ascii="Times New Roman" w:hAnsi="Times New Roman" w:cs="Times New Roman"/>
          <w:sz w:val="28"/>
          <w:szCs w:val="28"/>
        </w:rPr>
        <w:t xml:space="preserve">Предметом аукциона является право на заключение </w:t>
      </w:r>
      <w:r w:rsidR="000A0652" w:rsidRPr="009F1680">
        <w:rPr>
          <w:rFonts w:ascii="Times New Roman" w:hAnsi="Times New Roman" w:cs="Times New Roman"/>
          <w:sz w:val="28"/>
          <w:szCs w:val="28"/>
        </w:rPr>
        <w:t>договора аренды Имущества.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A17BA" w:rsidRPr="009F1680">
        <w:rPr>
          <w:rFonts w:ascii="Times New Roman" w:hAnsi="Times New Roman" w:cs="Times New Roman"/>
          <w:sz w:val="28"/>
          <w:szCs w:val="28"/>
        </w:rPr>
        <w:t xml:space="preserve">Арендаторами имущества, включенного в Перечень, на льготных ставках арендной платы являются субъекты малого и среднего предпринимательства, занимающиеся социально значимыми видами деятельности (производство, жилищно-коммунальное хозяйство, инновационная деятельность, бытовое обслуживание, общественное питание, образование, здравоохранение, народно-художественные промыслы, внутренний туризм, физкультура </w:t>
      </w:r>
      <w:r w:rsidR="00D23E4D" w:rsidRPr="009F1680">
        <w:rPr>
          <w:rFonts w:ascii="Times New Roman" w:hAnsi="Times New Roman" w:cs="Times New Roman"/>
          <w:sz w:val="28"/>
          <w:szCs w:val="28"/>
        </w:rPr>
        <w:t>и спорт, культура, учреждения дополнительного образования детей, социально-ориентированные организации при условии осуществления ими деятельности, направленной на решение социальных проблем, в т.ч. социальную поддержку и защиту граждан, благотворительную деятельность, охрану окружающей среды и защиту животных, оказание консультационно-юридической помощи на льготной ос</w:t>
      </w:r>
      <w:r w:rsidR="00735C64" w:rsidRPr="009F1680">
        <w:rPr>
          <w:rFonts w:ascii="Times New Roman" w:hAnsi="Times New Roman" w:cs="Times New Roman"/>
          <w:sz w:val="28"/>
          <w:szCs w:val="28"/>
        </w:rPr>
        <w:t>нове гражданам, некоммерческим организациям и субъектам малого и среднего предпринимательства</w:t>
      </w:r>
      <w:r w:rsidR="00BA17BA" w:rsidRPr="009F1680">
        <w:rPr>
          <w:rFonts w:ascii="Times New Roman" w:hAnsi="Times New Roman" w:cs="Times New Roman"/>
          <w:sz w:val="28"/>
          <w:szCs w:val="28"/>
        </w:rPr>
        <w:t>)</w:t>
      </w:r>
      <w:r w:rsidR="00735C64" w:rsidRPr="009F1680">
        <w:rPr>
          <w:rFonts w:ascii="Times New Roman" w:hAnsi="Times New Roman" w:cs="Times New Roman"/>
          <w:sz w:val="28"/>
          <w:szCs w:val="28"/>
        </w:rPr>
        <w:t xml:space="preserve"> за исключением субъектов малого и среднего предпринимательства, которым в соответствии с Федеральным законом от 24.07.2007 № 209-ФЗ «О развитии малого и среднего предпринимательства в Российской Федерации» не может оказываться поддержка.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A0652" w:rsidRPr="009F1680">
        <w:rPr>
          <w:rFonts w:ascii="Times New Roman" w:hAnsi="Times New Roman" w:cs="Times New Roman"/>
          <w:sz w:val="28"/>
          <w:szCs w:val="28"/>
        </w:rPr>
        <w:t>Срок действия договора аренды Имущества – 5 лет.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05774" w:rsidRPr="009F168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A0652" w:rsidRPr="009F1680">
        <w:rPr>
          <w:rFonts w:ascii="Times New Roman" w:hAnsi="Times New Roman" w:cs="Times New Roman"/>
          <w:sz w:val="28"/>
          <w:szCs w:val="28"/>
        </w:rPr>
        <w:t>участников</w:t>
      </w:r>
      <w:r w:rsidR="00C05774" w:rsidRPr="009F1680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0A0652" w:rsidRPr="009F1680">
        <w:rPr>
          <w:rFonts w:ascii="Times New Roman" w:hAnsi="Times New Roman" w:cs="Times New Roman"/>
          <w:sz w:val="28"/>
          <w:szCs w:val="28"/>
        </w:rPr>
        <w:t xml:space="preserve">: </w:t>
      </w:r>
      <w:r w:rsidR="00E04E5C" w:rsidRPr="009F1680">
        <w:rPr>
          <w:rFonts w:ascii="Times New Roman" w:hAnsi="Times New Roman" w:cs="Times New Roman"/>
          <w:sz w:val="28"/>
          <w:szCs w:val="28"/>
        </w:rPr>
        <w:t>только субъекты</w:t>
      </w:r>
      <w:r w:rsidR="00735C64" w:rsidRPr="009F1680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0A0652" w:rsidRPr="009F1680">
        <w:rPr>
          <w:rFonts w:ascii="Times New Roman" w:hAnsi="Times New Roman" w:cs="Times New Roman"/>
          <w:sz w:val="28"/>
          <w:szCs w:val="28"/>
        </w:rPr>
        <w:t>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A0652" w:rsidRPr="009F1680">
        <w:rPr>
          <w:rFonts w:ascii="Times New Roman" w:hAnsi="Times New Roman" w:cs="Times New Roman"/>
          <w:sz w:val="28"/>
          <w:szCs w:val="28"/>
        </w:rPr>
        <w:t>Способ подачи предложений по цене: открытый.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0A0652" w:rsidRPr="009F1680">
        <w:rPr>
          <w:rFonts w:ascii="Times New Roman" w:hAnsi="Times New Roman" w:cs="Times New Roman"/>
          <w:sz w:val="28"/>
          <w:szCs w:val="28"/>
        </w:rPr>
        <w:t>Начальная цена определяется в соответствии с отчетом об определении рыночной стоимости арендной платы согласно приложению.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0A0652" w:rsidRPr="009F1680">
        <w:rPr>
          <w:rFonts w:ascii="Times New Roman" w:hAnsi="Times New Roman" w:cs="Times New Roman"/>
          <w:sz w:val="28"/>
          <w:szCs w:val="28"/>
        </w:rPr>
        <w:t>Шаг аукциона: 5 процентов от начальной минимальной цены лота (без учета НДС).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0A0652" w:rsidRPr="009F1680">
        <w:rPr>
          <w:rFonts w:ascii="Times New Roman" w:hAnsi="Times New Roman" w:cs="Times New Roman"/>
          <w:sz w:val="28"/>
          <w:szCs w:val="28"/>
        </w:rPr>
        <w:t>Победителем аукциона признается участник, предложивший наиболее высокую цену лота.</w:t>
      </w:r>
    </w:p>
    <w:p w:rsidR="0075327C" w:rsidRDefault="009F1680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224535">
        <w:rPr>
          <w:rFonts w:ascii="Times New Roman" w:hAnsi="Times New Roman" w:cs="Times New Roman"/>
          <w:sz w:val="28"/>
          <w:szCs w:val="28"/>
        </w:rPr>
        <w:t xml:space="preserve"> А</w:t>
      </w:r>
      <w:r w:rsidR="00835320">
        <w:rPr>
          <w:rFonts w:ascii="Times New Roman" w:hAnsi="Times New Roman" w:cs="Times New Roman"/>
          <w:sz w:val="28"/>
          <w:szCs w:val="28"/>
        </w:rPr>
        <w:t xml:space="preserve">ренда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графигы</w:t>
      </w:r>
      <w:proofErr w:type="spellEnd"/>
      <w:r w:rsidR="00490A71" w:rsidRPr="009F1680">
        <w:rPr>
          <w:rFonts w:ascii="Times New Roman" w:hAnsi="Times New Roman" w:cs="Times New Roman"/>
          <w:sz w:val="28"/>
          <w:szCs w:val="28"/>
        </w:rPr>
        <w:t>:</w:t>
      </w:r>
    </w:p>
    <w:p w:rsidR="00835320" w:rsidRDefault="0075327C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3.9.1.</w:t>
      </w:r>
      <w:r w:rsidR="00E073BF" w:rsidRPr="009F1680">
        <w:rPr>
          <w:rFonts w:ascii="Times New Roman" w:hAnsi="Times New Roman" w:cs="Times New Roman"/>
          <w:sz w:val="28"/>
          <w:szCs w:val="28"/>
        </w:rPr>
        <w:t>Июнь, июль, август, сентябрь:</w:t>
      </w:r>
      <w:r w:rsidR="00490A71" w:rsidRPr="009F1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чәршәмбе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җомга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15:00-20:00,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ш</w:t>
      </w:r>
      <w:r w:rsidR="00835320" w:rsidRPr="00835320">
        <w:rPr>
          <w:rFonts w:ascii="Times New Roman" w:hAnsi="Times New Roman" w:cs="Times New Roman"/>
          <w:sz w:val="28"/>
          <w:szCs w:val="28"/>
        </w:rPr>
        <w:t>имбә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якшәмбе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="00835320" w:rsidRP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көннәре</w:t>
      </w:r>
      <w:proofErr w:type="spellEnd"/>
      <w:r w:rsidR="00835320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835320" w:rsidRPr="00835320">
        <w:rPr>
          <w:rFonts w:ascii="Times New Roman" w:hAnsi="Times New Roman" w:cs="Times New Roman"/>
          <w:sz w:val="28"/>
          <w:szCs w:val="28"/>
        </w:rPr>
        <w:t xml:space="preserve"> 1</w:t>
      </w:r>
      <w:r w:rsidR="00835320">
        <w:rPr>
          <w:rFonts w:ascii="Times New Roman" w:hAnsi="Times New Roman" w:cs="Times New Roman"/>
          <w:sz w:val="28"/>
          <w:szCs w:val="28"/>
        </w:rPr>
        <w:t>0:00 – 20:</w:t>
      </w:r>
      <w:r w:rsidR="00835320" w:rsidRPr="00835320">
        <w:rPr>
          <w:rFonts w:ascii="Times New Roman" w:hAnsi="Times New Roman" w:cs="Times New Roman"/>
          <w:sz w:val="28"/>
          <w:szCs w:val="28"/>
        </w:rPr>
        <w:t>00;</w:t>
      </w:r>
    </w:p>
    <w:p w:rsidR="0075327C" w:rsidRDefault="0075327C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3.9.2.</w:t>
      </w:r>
      <w:r w:rsidR="00835320" w:rsidRPr="00835320">
        <w:t xml:space="preserve"> </w:t>
      </w:r>
      <w:r w:rsidR="00835320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декабреннән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</w:t>
      </w:r>
      <w:r w:rsidR="00835320" w:rsidRPr="00835320">
        <w:rPr>
          <w:rFonts w:ascii="Times New Roman" w:hAnsi="Times New Roman" w:cs="Times New Roman"/>
          <w:sz w:val="28"/>
          <w:szCs w:val="28"/>
        </w:rPr>
        <w:t xml:space="preserve">2023 </w:t>
      </w:r>
      <w:r w:rsidR="00835320">
        <w:rPr>
          <w:rFonts w:ascii="Times New Roman" w:hAnsi="Times New Roman" w:cs="Times New Roman"/>
          <w:sz w:val="28"/>
          <w:szCs w:val="28"/>
          <w:lang w:val="tt-RU"/>
        </w:rPr>
        <w:t xml:space="preserve">елның 20 гыйнварына кадәр </w:t>
      </w:r>
      <w:proofErr w:type="spellStart"/>
      <w:r w:rsidR="00835320" w:rsidRPr="00835320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көнне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10:00 </w:t>
      </w:r>
      <w:proofErr w:type="spellStart"/>
      <w:r w:rsidR="00835320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="00835320">
        <w:rPr>
          <w:rFonts w:ascii="Times New Roman" w:hAnsi="Times New Roman" w:cs="Times New Roman"/>
          <w:sz w:val="28"/>
          <w:szCs w:val="28"/>
        </w:rPr>
        <w:t xml:space="preserve"> 20:</w:t>
      </w:r>
      <w:r w:rsidR="00835320" w:rsidRPr="00835320">
        <w:rPr>
          <w:rFonts w:ascii="Times New Roman" w:hAnsi="Times New Roman" w:cs="Times New Roman"/>
          <w:sz w:val="28"/>
          <w:szCs w:val="28"/>
        </w:rPr>
        <w:t>00</w:t>
      </w:r>
      <w:r w:rsidR="00835320">
        <w:rPr>
          <w:rFonts w:ascii="Times New Roman" w:hAnsi="Times New Roman" w:cs="Times New Roman"/>
          <w:sz w:val="28"/>
          <w:szCs w:val="28"/>
          <w:lang w:val="tt-RU"/>
        </w:rPr>
        <w:t xml:space="preserve"> гә кадәр</w:t>
      </w:r>
      <w:r w:rsidR="00835320" w:rsidRPr="00835320">
        <w:rPr>
          <w:rFonts w:ascii="Times New Roman" w:hAnsi="Times New Roman" w:cs="Times New Roman"/>
          <w:sz w:val="28"/>
          <w:szCs w:val="28"/>
        </w:rPr>
        <w:t>.</w:t>
      </w:r>
    </w:p>
    <w:p w:rsidR="0075327C" w:rsidRDefault="0075327C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4535" w:rsidRPr="00224535">
        <w:t xml:space="preserve"> </w:t>
      </w:r>
      <w:r w:rsidR="00224535" w:rsidRPr="00224535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иҗтимагый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берләшмәләр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="00224535">
        <w:rPr>
          <w:rFonts w:ascii="Times New Roman" w:hAnsi="Times New Roman" w:cs="Times New Roman"/>
          <w:sz w:val="28"/>
          <w:szCs w:val="28"/>
          <w:lang w:val="tt-RU"/>
        </w:rPr>
        <w:t>нә</w:t>
      </w:r>
      <w:r w:rsidR="00224535" w:rsidRPr="0022453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22453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="00224535" w:rsidRPr="00224535">
        <w:rPr>
          <w:rFonts w:ascii="Times New Roman" w:hAnsi="Times New Roman" w:cs="Times New Roman"/>
          <w:sz w:val="28"/>
          <w:szCs w:val="28"/>
        </w:rPr>
        <w:t>leninogorsk.tatarstan.ru</w:t>
      </w:r>
      <w:r w:rsidR="0022453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24535" w:rsidRPr="00224535">
        <w:rPr>
          <w:rFonts w:ascii="Times New Roman" w:hAnsi="Times New Roman" w:cs="Times New Roman"/>
          <w:sz w:val="28"/>
          <w:szCs w:val="28"/>
        </w:rPr>
        <w:t xml:space="preserve"> аукцион</w:t>
      </w:r>
      <w:proofErr w:type="gram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хәбәрнамәне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бастырырга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>.</w:t>
      </w:r>
    </w:p>
    <w:p w:rsidR="000841B4" w:rsidRPr="009F1680" w:rsidRDefault="0075327C" w:rsidP="0022453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4535" w:rsidRPr="00224535"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r w:rsidR="00224535">
        <w:rPr>
          <w:rFonts w:ascii="Times New Roman" w:hAnsi="Times New Roman" w:cs="Times New Roman"/>
          <w:sz w:val="28"/>
          <w:szCs w:val="28"/>
          <w:lang w:val="tt-RU"/>
        </w:rPr>
        <w:t>контрольдә тотуны</w:t>
      </w:r>
      <w:r w:rsidR="00224535" w:rsidRPr="0022453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М</w:t>
      </w:r>
      <w:r w:rsidR="00224535" w:rsidRPr="00224535">
        <w:rPr>
          <w:rFonts w:ascii="Times New Roman" w:hAnsi="Times New Roman" w:cs="Times New Roman"/>
          <w:sz w:val="28"/>
          <w:szCs w:val="28"/>
        </w:rPr>
        <w:t>өлкәт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казна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уч</w:t>
      </w:r>
      <w:r w:rsidR="00224535">
        <w:rPr>
          <w:rFonts w:ascii="Times New Roman" w:hAnsi="Times New Roman" w:cs="Times New Roman"/>
          <w:sz w:val="28"/>
          <w:szCs w:val="28"/>
        </w:rPr>
        <w:t>реждениесе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="00224535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="00224535">
        <w:rPr>
          <w:rFonts w:ascii="Times New Roman" w:hAnsi="Times New Roman" w:cs="Times New Roman"/>
          <w:sz w:val="28"/>
          <w:szCs w:val="28"/>
        </w:rPr>
        <w:t>Солтановага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35" w:rsidRPr="00224535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224535" w:rsidRPr="00224535">
        <w:rPr>
          <w:rFonts w:ascii="Times New Roman" w:hAnsi="Times New Roman" w:cs="Times New Roman"/>
          <w:sz w:val="28"/>
          <w:szCs w:val="28"/>
        </w:rPr>
        <w:t>.</w:t>
      </w:r>
    </w:p>
    <w:p w:rsidR="000841B4" w:rsidRPr="009F1680" w:rsidRDefault="000841B4" w:rsidP="009F1680">
      <w:pPr>
        <w:pStyle w:val="a3"/>
        <w:spacing w:line="240" w:lineRule="auto"/>
        <w:ind w:left="927"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F1680" w:rsidRPr="00C24DB6" w:rsidTr="00D66ACE">
        <w:tc>
          <w:tcPr>
            <w:tcW w:w="3298" w:type="dxa"/>
            <w:shd w:val="clear" w:color="auto" w:fill="auto"/>
          </w:tcPr>
          <w:p w:rsidR="009F1680" w:rsidRPr="00C24DB6" w:rsidRDefault="0058393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9F1680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9F1680" w:rsidRPr="00C24DB6" w:rsidRDefault="009F168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F1680" w:rsidRPr="00C24DB6" w:rsidRDefault="009F168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B46208" w:rsidRPr="009F1680" w:rsidRDefault="00583938" w:rsidP="00801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Р.А.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 w:rsidR="009F1680" w:rsidRPr="009F1680">
        <w:rPr>
          <w:rFonts w:ascii="Times New Roman" w:hAnsi="Times New Roman" w:cs="Times New Roman"/>
          <w:sz w:val="24"/>
          <w:szCs w:val="24"/>
        </w:rPr>
        <w:t>лтанова</w:t>
      </w:r>
      <w:proofErr w:type="spellEnd"/>
      <w:r w:rsidR="009F1680" w:rsidRPr="009F1680">
        <w:rPr>
          <w:rFonts w:ascii="Times New Roman" w:hAnsi="Times New Roman" w:cs="Times New Roman"/>
          <w:sz w:val="24"/>
          <w:szCs w:val="24"/>
        </w:rPr>
        <w:br/>
      </w:r>
      <w:r w:rsidR="00801EC1" w:rsidRPr="009F1680">
        <w:rPr>
          <w:rFonts w:ascii="Times New Roman" w:hAnsi="Times New Roman" w:cs="Times New Roman"/>
          <w:sz w:val="24"/>
          <w:szCs w:val="24"/>
        </w:rPr>
        <w:t>5-01-61</w:t>
      </w:r>
    </w:p>
    <w:p w:rsidR="00253BC1" w:rsidRDefault="00253BC1" w:rsidP="003D6528">
      <w:pPr>
        <w:rPr>
          <w:rFonts w:ascii="Times New Roman" w:hAnsi="Times New Roman" w:cs="Times New Roman"/>
          <w:sz w:val="18"/>
          <w:szCs w:val="18"/>
        </w:rPr>
        <w:sectPr w:rsidR="00253BC1" w:rsidSect="0075327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46208" w:rsidRPr="001F0916" w:rsidRDefault="0075327C" w:rsidP="003D6528">
      <w:pPr>
        <w:spacing w:after="0" w:line="240" w:lineRule="auto"/>
        <w:ind w:left="10349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П</w:t>
      </w:r>
      <w:r w:rsidR="00B46208" w:rsidRPr="00FF7B03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№</w:t>
      </w:r>
      <w:r w:rsidR="00B46208" w:rsidRPr="00FF7B03">
        <w:rPr>
          <w:rFonts w:ascii="Times New Roman" w:hAnsi="Times New Roman" w:cs="Times New Roman"/>
        </w:rPr>
        <w:t xml:space="preserve"> 1</w:t>
      </w:r>
    </w:p>
    <w:p w:rsidR="00B46208" w:rsidRPr="00FF7B03" w:rsidRDefault="0075327C" w:rsidP="003D6528">
      <w:pPr>
        <w:spacing w:after="0" w:line="240" w:lineRule="auto"/>
        <w:ind w:left="110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B46208" w:rsidRPr="00FF7B03">
        <w:rPr>
          <w:rFonts w:ascii="Times New Roman" w:hAnsi="Times New Roman" w:cs="Times New Roman"/>
        </w:rPr>
        <w:t>остановлению Исполнительного комитета</w:t>
      </w:r>
      <w:r w:rsidR="00B46208" w:rsidRPr="00FF7B03">
        <w:rPr>
          <w:rFonts w:ascii="Times New Roman" w:hAnsi="Times New Roman" w:cs="Times New Roman"/>
        </w:rPr>
        <w:br/>
        <w:t xml:space="preserve">муниципального образования </w:t>
      </w:r>
      <w:r w:rsidR="00B46208" w:rsidRPr="00FF7B03">
        <w:rPr>
          <w:rFonts w:ascii="Times New Roman" w:hAnsi="Times New Roman" w:cs="Times New Roman"/>
        </w:rPr>
        <w:br/>
        <w:t>«Лениногорски</w:t>
      </w:r>
      <w:r>
        <w:rPr>
          <w:rFonts w:ascii="Times New Roman" w:hAnsi="Times New Roman" w:cs="Times New Roman"/>
        </w:rPr>
        <w:t xml:space="preserve">й муниципальный район» </w:t>
      </w:r>
      <w:r>
        <w:rPr>
          <w:rFonts w:ascii="Times New Roman" w:hAnsi="Times New Roman" w:cs="Times New Roman"/>
        </w:rPr>
        <w:br/>
        <w:t>от «20» июня 2022 г. № 576</w:t>
      </w:r>
    </w:p>
    <w:p w:rsidR="00D74030" w:rsidRPr="00FF7B03" w:rsidRDefault="00D74030" w:rsidP="00D740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030" w:rsidRPr="00FF7B03" w:rsidRDefault="00D74030" w:rsidP="003D6528">
      <w:pPr>
        <w:spacing w:after="0" w:line="240" w:lineRule="auto"/>
        <w:rPr>
          <w:rFonts w:ascii="Times New Roman" w:hAnsi="Times New Roman" w:cs="Times New Roman"/>
        </w:rPr>
      </w:pPr>
    </w:p>
    <w:p w:rsidR="00D74030" w:rsidRPr="00FF7B03" w:rsidRDefault="00D74030" w:rsidP="00D740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7B03">
        <w:rPr>
          <w:rFonts w:ascii="Times New Roman" w:hAnsi="Times New Roman" w:cs="Times New Roman"/>
        </w:rPr>
        <w:t>ПЕРЕЧЕНЬ</w:t>
      </w:r>
    </w:p>
    <w:p w:rsidR="00CB5766" w:rsidRPr="00FF7B03" w:rsidRDefault="00D74030" w:rsidP="00D740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7B03">
        <w:rPr>
          <w:rFonts w:ascii="Times New Roman" w:hAnsi="Times New Roman" w:cs="Times New Roman"/>
        </w:rPr>
        <w:t>муниципального имущества, предполагаемого к сдаче в аренду путем проведения торгов</w:t>
      </w:r>
    </w:p>
    <w:p w:rsidR="00CB5766" w:rsidRPr="00FF7B03" w:rsidRDefault="00CB5766" w:rsidP="00CB57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5730" w:type="dxa"/>
        <w:tblLayout w:type="fixed"/>
        <w:tblLook w:val="04A0" w:firstRow="1" w:lastRow="0" w:firstColumn="1" w:lastColumn="0" w:noHBand="0" w:noVBand="1"/>
      </w:tblPr>
      <w:tblGrid>
        <w:gridCol w:w="1037"/>
        <w:gridCol w:w="1693"/>
        <w:gridCol w:w="1724"/>
        <w:gridCol w:w="1236"/>
        <w:gridCol w:w="1826"/>
        <w:gridCol w:w="1087"/>
        <w:gridCol w:w="1128"/>
        <w:gridCol w:w="49"/>
        <w:gridCol w:w="1272"/>
        <w:gridCol w:w="1002"/>
        <w:gridCol w:w="1266"/>
        <w:gridCol w:w="1134"/>
        <w:gridCol w:w="1276"/>
      </w:tblGrid>
      <w:tr w:rsidR="00771CAB" w:rsidRPr="00FF7B03" w:rsidTr="00771CAB">
        <w:trPr>
          <w:trHeight w:val="2414"/>
        </w:trPr>
        <w:tc>
          <w:tcPr>
            <w:tcW w:w="1037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Номер п/п</w:t>
            </w:r>
          </w:p>
        </w:tc>
        <w:tc>
          <w:tcPr>
            <w:tcW w:w="1693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724" w:type="dxa"/>
            <w:vAlign w:val="center"/>
          </w:tcPr>
          <w:p w:rsidR="00771CAB" w:rsidRPr="00FF7B03" w:rsidRDefault="00771CAB" w:rsidP="00DF68F1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 xml:space="preserve">Начальная (минимальная) цена договора (цена лота) – рыночная стоимость </w:t>
            </w:r>
            <w:r>
              <w:rPr>
                <w:rFonts w:ascii="Times New Roman" w:hAnsi="Times New Roman" w:cs="Times New Roman"/>
              </w:rPr>
              <w:t>почасовой</w:t>
            </w:r>
            <w:r w:rsidRPr="00FF7B03">
              <w:rPr>
                <w:rFonts w:ascii="Times New Roman" w:hAnsi="Times New Roman" w:cs="Times New Roman"/>
              </w:rPr>
              <w:t xml:space="preserve"> арендной платы, </w:t>
            </w:r>
            <w:r w:rsidRPr="00623528">
              <w:rPr>
                <w:rFonts w:ascii="Times New Roman" w:hAnsi="Times New Roman" w:cs="Times New Roman"/>
              </w:rPr>
              <w:t>без учета НДС</w:t>
            </w:r>
          </w:p>
        </w:tc>
        <w:tc>
          <w:tcPr>
            <w:tcW w:w="1236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Шаг аукциона (руб.)</w:t>
            </w:r>
          </w:p>
        </w:tc>
        <w:tc>
          <w:tcPr>
            <w:tcW w:w="1826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Целевое назначение сдаваемого в аренду имущества</w:t>
            </w:r>
          </w:p>
        </w:tc>
        <w:tc>
          <w:tcPr>
            <w:tcW w:w="1087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 xml:space="preserve">Срок </w:t>
            </w:r>
            <w:r w:rsidR="00DD641F">
              <w:rPr>
                <w:rFonts w:ascii="Times New Roman" w:hAnsi="Times New Roman" w:cs="Times New Roman"/>
              </w:rPr>
              <w:t xml:space="preserve">действия договора </w:t>
            </w:r>
            <w:r w:rsidRPr="00FF7B03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7127" w:type="dxa"/>
            <w:gridSpan w:val="7"/>
            <w:vAlign w:val="center"/>
          </w:tcPr>
          <w:p w:rsidR="00771CAB" w:rsidRDefault="00771CAB" w:rsidP="003D6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почасовой аренды</w:t>
            </w:r>
          </w:p>
        </w:tc>
      </w:tr>
      <w:tr w:rsidR="00771CAB" w:rsidRPr="00FF7B03" w:rsidTr="00771CAB">
        <w:tc>
          <w:tcPr>
            <w:tcW w:w="1037" w:type="dxa"/>
            <w:vMerge w:val="restart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Колесо обозрение высотой 35 м</w:t>
            </w:r>
          </w:p>
        </w:tc>
        <w:tc>
          <w:tcPr>
            <w:tcW w:w="1724" w:type="dxa"/>
            <w:vMerge w:val="restart"/>
            <w:vAlign w:val="center"/>
          </w:tcPr>
          <w:p w:rsidR="00771CAB" w:rsidRPr="00FF7B03" w:rsidRDefault="00771CAB" w:rsidP="00C8502A">
            <w:pPr>
              <w:jc w:val="center"/>
              <w:rPr>
                <w:rFonts w:ascii="Times New Roman" w:hAnsi="Times New Roman" w:cs="Times New Roman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386,67</w:t>
            </w:r>
          </w:p>
        </w:tc>
        <w:tc>
          <w:tcPr>
            <w:tcW w:w="1236" w:type="dxa"/>
            <w:vMerge w:val="restart"/>
            <w:vAlign w:val="center"/>
          </w:tcPr>
          <w:p w:rsidR="00771CAB" w:rsidRPr="00FF7B03" w:rsidRDefault="00771CAB" w:rsidP="00C8502A">
            <w:pPr>
              <w:jc w:val="center"/>
              <w:rPr>
                <w:rFonts w:ascii="Times New Roman" w:hAnsi="Times New Roman" w:cs="Times New Roman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19,33</w:t>
            </w:r>
          </w:p>
        </w:tc>
        <w:tc>
          <w:tcPr>
            <w:tcW w:w="1826" w:type="dxa"/>
            <w:vMerge w:val="restart"/>
            <w:vAlign w:val="center"/>
          </w:tcPr>
          <w:p w:rsidR="00771CAB" w:rsidRPr="00FF7B03" w:rsidRDefault="00771CAB" w:rsidP="00C85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 w:val="restart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49" w:type="dxa"/>
            <w:gridSpan w:val="3"/>
            <w:vAlign w:val="center"/>
          </w:tcPr>
          <w:p w:rsidR="00771CAB" w:rsidRPr="00771CAB" w:rsidRDefault="00771CAB" w:rsidP="003D6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2268" w:type="dxa"/>
            <w:gridSpan w:val="2"/>
            <w:vAlign w:val="center"/>
          </w:tcPr>
          <w:p w:rsidR="00771CAB" w:rsidRPr="00771CAB" w:rsidRDefault="00771CAB" w:rsidP="003D6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2410" w:type="dxa"/>
            <w:gridSpan w:val="2"/>
            <w:vAlign w:val="center"/>
          </w:tcPr>
          <w:p w:rsidR="00771CAB" w:rsidRPr="00771CAB" w:rsidRDefault="00771CAB" w:rsidP="003D6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</w:tr>
      <w:tr w:rsidR="00771CAB" w:rsidRPr="00FF7B03" w:rsidTr="00771CAB">
        <w:tc>
          <w:tcPr>
            <w:tcW w:w="1037" w:type="dxa"/>
            <w:vMerge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771CAB" w:rsidRPr="00C8502A" w:rsidRDefault="00771CAB" w:rsidP="00FF7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71CAB" w:rsidRPr="00C8502A" w:rsidRDefault="00771CAB" w:rsidP="00C850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771CAB" w:rsidRPr="00C8502A" w:rsidRDefault="00771CAB" w:rsidP="00C850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771CAB" w:rsidRPr="00FF7B03" w:rsidRDefault="00771CAB" w:rsidP="00C85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Ср,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21" w:type="dxa"/>
            <w:gridSpan w:val="2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праздничные дни</w:t>
            </w:r>
          </w:p>
        </w:tc>
        <w:tc>
          <w:tcPr>
            <w:tcW w:w="1002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Ср,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6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праздничные дни</w:t>
            </w:r>
          </w:p>
        </w:tc>
        <w:tc>
          <w:tcPr>
            <w:tcW w:w="1134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Ср,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праздничные дни</w:t>
            </w:r>
          </w:p>
        </w:tc>
      </w:tr>
      <w:tr w:rsidR="00771CAB" w:rsidTr="00771CAB">
        <w:tc>
          <w:tcPr>
            <w:tcW w:w="1037" w:type="dxa"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3" w:type="dxa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Карусель цепочная «Взлет»</w:t>
            </w:r>
          </w:p>
        </w:tc>
        <w:tc>
          <w:tcPr>
            <w:tcW w:w="1724" w:type="dxa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20,00</w:t>
            </w:r>
          </w:p>
        </w:tc>
        <w:tc>
          <w:tcPr>
            <w:tcW w:w="1236" w:type="dxa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26" w:type="dxa"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71CAB" w:rsidRPr="00AE43FF" w:rsidRDefault="00771CAB" w:rsidP="00E5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70 ч.</w:t>
            </w:r>
          </w:p>
        </w:tc>
        <w:tc>
          <w:tcPr>
            <w:tcW w:w="1321" w:type="dxa"/>
            <w:gridSpan w:val="2"/>
            <w:vAlign w:val="center"/>
          </w:tcPr>
          <w:p w:rsidR="00771CAB" w:rsidRPr="00AE43FF" w:rsidRDefault="00771CAB" w:rsidP="00E5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90 ч.</w:t>
            </w:r>
          </w:p>
        </w:tc>
        <w:tc>
          <w:tcPr>
            <w:tcW w:w="1002" w:type="dxa"/>
            <w:vAlign w:val="center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65 ч.</w:t>
            </w:r>
          </w:p>
        </w:tc>
        <w:tc>
          <w:tcPr>
            <w:tcW w:w="1266" w:type="dxa"/>
            <w:vAlign w:val="center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100 ч.</w:t>
            </w:r>
          </w:p>
        </w:tc>
        <w:tc>
          <w:tcPr>
            <w:tcW w:w="1134" w:type="dxa"/>
            <w:vAlign w:val="center"/>
          </w:tcPr>
          <w:p w:rsidR="00771CAB" w:rsidRDefault="008F3326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771CAB" w:rsidRPr="00AE43FF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6" w:type="dxa"/>
            <w:vAlign w:val="center"/>
          </w:tcPr>
          <w:p w:rsidR="00771CAB" w:rsidRDefault="008F3326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71CAB" w:rsidRPr="00AE43FF">
              <w:rPr>
                <w:rFonts w:ascii="Times New Roman" w:hAnsi="Times New Roman" w:cs="Times New Roman"/>
                <w:sz w:val="18"/>
                <w:szCs w:val="18"/>
              </w:rPr>
              <w:t>0 ч.</w:t>
            </w:r>
          </w:p>
        </w:tc>
      </w:tr>
      <w:tr w:rsidR="00771CAB" w:rsidTr="00771CAB">
        <w:trPr>
          <w:trHeight w:val="353"/>
        </w:trPr>
        <w:tc>
          <w:tcPr>
            <w:tcW w:w="1037" w:type="dxa"/>
            <w:vMerge w:val="restart"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93" w:type="dxa"/>
            <w:vMerge w:val="restart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Аттракцион «Светофор»</w:t>
            </w:r>
          </w:p>
        </w:tc>
        <w:tc>
          <w:tcPr>
            <w:tcW w:w="1724" w:type="dxa"/>
            <w:vMerge w:val="restart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14,17</w:t>
            </w:r>
          </w:p>
        </w:tc>
        <w:tc>
          <w:tcPr>
            <w:tcW w:w="1236" w:type="dxa"/>
            <w:vMerge w:val="restart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0,71</w:t>
            </w:r>
          </w:p>
        </w:tc>
        <w:tc>
          <w:tcPr>
            <w:tcW w:w="1826" w:type="dxa"/>
            <w:vMerge w:val="restart"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71CAB" w:rsidRPr="00AE43FF" w:rsidRDefault="00771CAB" w:rsidP="00E5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40 670 руб.</w:t>
            </w:r>
          </w:p>
        </w:tc>
        <w:tc>
          <w:tcPr>
            <w:tcW w:w="1321" w:type="dxa"/>
            <w:gridSpan w:val="2"/>
            <w:vAlign w:val="center"/>
          </w:tcPr>
          <w:p w:rsidR="00771CAB" w:rsidRPr="00AE43FF" w:rsidRDefault="00771CAB" w:rsidP="00E5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52 290 руб.</w:t>
            </w:r>
          </w:p>
        </w:tc>
        <w:tc>
          <w:tcPr>
            <w:tcW w:w="1002" w:type="dxa"/>
            <w:vAlign w:val="center"/>
          </w:tcPr>
          <w:p w:rsidR="00771CAB" w:rsidRPr="00AE43FF" w:rsidRDefault="00771CAB" w:rsidP="00771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37 765 руб.</w:t>
            </w:r>
          </w:p>
        </w:tc>
        <w:tc>
          <w:tcPr>
            <w:tcW w:w="1266" w:type="dxa"/>
            <w:vAlign w:val="center"/>
          </w:tcPr>
          <w:p w:rsidR="00771CAB" w:rsidRPr="00AE43FF" w:rsidRDefault="00771CAB" w:rsidP="00771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58 100 руб.</w:t>
            </w:r>
          </w:p>
        </w:tc>
        <w:tc>
          <w:tcPr>
            <w:tcW w:w="1134" w:type="dxa"/>
            <w:vAlign w:val="center"/>
          </w:tcPr>
          <w:p w:rsidR="00771CAB" w:rsidRDefault="008F3326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34 860 </w:t>
            </w:r>
            <w:r w:rsidR="00771CAB" w:rsidRPr="00AE43F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vAlign w:val="center"/>
          </w:tcPr>
          <w:p w:rsidR="00771CAB" w:rsidRDefault="008F3326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52 290 </w:t>
            </w:r>
            <w:r w:rsidR="00771CAB" w:rsidRPr="00AE43F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771CAB" w:rsidTr="00771CAB">
        <w:trPr>
          <w:trHeight w:val="353"/>
        </w:trPr>
        <w:tc>
          <w:tcPr>
            <w:tcW w:w="103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771CAB" w:rsidRPr="00AE43FF" w:rsidRDefault="00771CAB" w:rsidP="00771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9">
              <w:rPr>
                <w:rFonts w:ascii="Times New Roman" w:hAnsi="Times New Roman" w:cs="Times New Roman"/>
                <w:b/>
              </w:rPr>
              <w:t>160 ч. - 92 960 руб</w:t>
            </w:r>
            <w:r w:rsidRPr="003A16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771CAB" w:rsidRPr="003A1629" w:rsidRDefault="00771CAB" w:rsidP="0077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29">
              <w:rPr>
                <w:rFonts w:ascii="Times New Roman" w:hAnsi="Times New Roman" w:cs="Times New Roman"/>
                <w:b/>
              </w:rPr>
              <w:t>165 ч. - 95 865 руб.</w:t>
            </w:r>
          </w:p>
        </w:tc>
        <w:tc>
          <w:tcPr>
            <w:tcW w:w="2410" w:type="dxa"/>
            <w:gridSpan w:val="2"/>
          </w:tcPr>
          <w:p w:rsidR="00771CAB" w:rsidRPr="00AE43FF" w:rsidRDefault="008F3326" w:rsidP="008F3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771CAB" w:rsidRPr="003A1629">
              <w:rPr>
                <w:rFonts w:ascii="Times New Roman" w:hAnsi="Times New Roman" w:cs="Times New Roman"/>
                <w:b/>
              </w:rPr>
              <w:t> ч. 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="00771CAB" w:rsidRPr="003A162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87 150 </w:t>
            </w:r>
            <w:r w:rsidR="00771CAB" w:rsidRPr="003A1629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771CAB" w:rsidTr="00771CAB">
        <w:trPr>
          <w:trHeight w:val="380"/>
        </w:trPr>
        <w:tc>
          <w:tcPr>
            <w:tcW w:w="1037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93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Карусель детская «Сказка»</w:t>
            </w:r>
          </w:p>
        </w:tc>
        <w:tc>
          <w:tcPr>
            <w:tcW w:w="1724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16,67</w:t>
            </w:r>
          </w:p>
        </w:tc>
        <w:tc>
          <w:tcPr>
            <w:tcW w:w="1236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0,83</w:t>
            </w:r>
          </w:p>
        </w:tc>
        <w:tc>
          <w:tcPr>
            <w:tcW w:w="1826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771CAB" w:rsidRPr="00771CAB" w:rsidRDefault="00771CAB" w:rsidP="00771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4678" w:type="dxa"/>
            <w:gridSpan w:val="4"/>
            <w:vAlign w:val="center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31.12.  - 10.01.</w:t>
            </w:r>
          </w:p>
        </w:tc>
      </w:tr>
      <w:tr w:rsidR="00771CAB" w:rsidTr="00771CAB">
        <w:trPr>
          <w:trHeight w:val="353"/>
        </w:trPr>
        <w:tc>
          <w:tcPr>
            <w:tcW w:w="1037" w:type="dxa"/>
            <w:vMerge w:val="restart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93" w:type="dxa"/>
            <w:vMerge w:val="restart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Аттракцион «Автодром»</w:t>
            </w:r>
          </w:p>
        </w:tc>
        <w:tc>
          <w:tcPr>
            <w:tcW w:w="1724" w:type="dxa"/>
            <w:vMerge w:val="restart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46,67</w:t>
            </w:r>
          </w:p>
        </w:tc>
        <w:tc>
          <w:tcPr>
            <w:tcW w:w="1236" w:type="dxa"/>
            <w:vMerge w:val="restart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2,33</w:t>
            </w:r>
          </w:p>
        </w:tc>
        <w:tc>
          <w:tcPr>
            <w:tcW w:w="1826" w:type="dxa"/>
            <w:vMerge w:val="restart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gridSpan w:val="2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70 ч.</w:t>
            </w:r>
          </w:p>
        </w:tc>
        <w:tc>
          <w:tcPr>
            <w:tcW w:w="1272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80 ч.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:rsidR="00771CAB" w:rsidRPr="0029553B" w:rsidRDefault="0029553B" w:rsidP="00295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53B">
              <w:rPr>
                <w:rFonts w:ascii="Times New Roman" w:hAnsi="Times New Roman" w:cs="Times New Roman"/>
                <w:b/>
              </w:rPr>
              <w:t>110</w:t>
            </w:r>
            <w:r w:rsidR="00771CAB" w:rsidRPr="0029553B">
              <w:rPr>
                <w:rFonts w:ascii="Times New Roman" w:hAnsi="Times New Roman" w:cs="Times New Roman"/>
                <w:b/>
              </w:rPr>
              <w:t xml:space="preserve"> ч. </w:t>
            </w:r>
            <w:r w:rsidRPr="0029553B">
              <w:rPr>
                <w:rFonts w:ascii="Times New Roman" w:hAnsi="Times New Roman" w:cs="Times New Roman"/>
                <w:b/>
              </w:rPr>
              <w:t>–</w:t>
            </w:r>
            <w:r w:rsidR="00771CAB" w:rsidRPr="0029553B">
              <w:rPr>
                <w:rFonts w:ascii="Times New Roman" w:hAnsi="Times New Roman" w:cs="Times New Roman"/>
                <w:b/>
              </w:rPr>
              <w:t xml:space="preserve"> </w:t>
            </w:r>
            <w:r w:rsidRPr="0029553B">
              <w:rPr>
                <w:rFonts w:ascii="Times New Roman" w:hAnsi="Times New Roman" w:cs="Times New Roman"/>
                <w:b/>
              </w:rPr>
              <w:t xml:space="preserve">63 910 </w:t>
            </w:r>
            <w:r w:rsidR="00771CAB" w:rsidRPr="0029553B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771CAB" w:rsidTr="00771CAB">
        <w:trPr>
          <w:trHeight w:val="353"/>
        </w:trPr>
        <w:tc>
          <w:tcPr>
            <w:tcW w:w="103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gridSpan w:val="2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629">
              <w:rPr>
                <w:rFonts w:ascii="Times New Roman" w:hAnsi="Times New Roman" w:cs="Times New Roman"/>
                <w:sz w:val="18"/>
                <w:szCs w:val="18"/>
              </w:rPr>
              <w:t>40 670 руб.</w:t>
            </w:r>
          </w:p>
        </w:tc>
        <w:tc>
          <w:tcPr>
            <w:tcW w:w="1272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629">
              <w:rPr>
                <w:rFonts w:ascii="Times New Roman" w:hAnsi="Times New Roman" w:cs="Times New Roman"/>
                <w:sz w:val="18"/>
                <w:szCs w:val="18"/>
              </w:rPr>
              <w:t>46 480 руб.</w:t>
            </w:r>
          </w:p>
        </w:tc>
        <w:tc>
          <w:tcPr>
            <w:tcW w:w="4678" w:type="dxa"/>
            <w:gridSpan w:val="4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CAB" w:rsidTr="00A84249">
        <w:tc>
          <w:tcPr>
            <w:tcW w:w="1037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24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b/>
                <w:sz w:val="26"/>
                <w:szCs w:val="26"/>
              </w:rPr>
              <w:t>581</w:t>
            </w:r>
          </w:p>
        </w:tc>
        <w:tc>
          <w:tcPr>
            <w:tcW w:w="1236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b/>
                <w:sz w:val="26"/>
                <w:szCs w:val="26"/>
              </w:rPr>
              <w:t>29,05</w:t>
            </w:r>
          </w:p>
        </w:tc>
        <w:tc>
          <w:tcPr>
            <w:tcW w:w="1826" w:type="dxa"/>
          </w:tcPr>
          <w:p w:rsidR="00771CAB" w:rsidRDefault="00771CAB" w:rsidP="00771C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  <w:gridSpan w:val="3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629">
              <w:rPr>
                <w:rFonts w:ascii="Times New Roman" w:hAnsi="Times New Roman" w:cs="Times New Roman"/>
                <w:b/>
              </w:rPr>
              <w:t>150 ч. - 87 150 руб.</w:t>
            </w:r>
          </w:p>
        </w:tc>
        <w:tc>
          <w:tcPr>
            <w:tcW w:w="4678" w:type="dxa"/>
            <w:gridSpan w:val="4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3276" w:rsidRDefault="00D74030" w:rsidP="00CB57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5BD6" w:rsidRDefault="009B5BD6">
      <w:pPr>
        <w:rPr>
          <w:rFonts w:ascii="Times New Roman" w:hAnsi="Times New Roman" w:cs="Times New Roman"/>
          <w:sz w:val="26"/>
          <w:szCs w:val="26"/>
        </w:rPr>
      </w:pPr>
    </w:p>
    <w:sectPr w:rsidR="009B5BD6" w:rsidSect="003D65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D1907"/>
    <w:multiLevelType w:val="multilevel"/>
    <w:tmpl w:val="5B428C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B4"/>
    <w:rsid w:val="00041B70"/>
    <w:rsid w:val="000841B4"/>
    <w:rsid w:val="000A0652"/>
    <w:rsid w:val="000A7F9A"/>
    <w:rsid w:val="000B65E4"/>
    <w:rsid w:val="00175096"/>
    <w:rsid w:val="001B46DA"/>
    <w:rsid w:val="001F0916"/>
    <w:rsid w:val="00213793"/>
    <w:rsid w:val="00224535"/>
    <w:rsid w:val="00253BC1"/>
    <w:rsid w:val="0029553B"/>
    <w:rsid w:val="002F68EA"/>
    <w:rsid w:val="00363A08"/>
    <w:rsid w:val="003A1629"/>
    <w:rsid w:val="003D4B23"/>
    <w:rsid w:val="003D6528"/>
    <w:rsid w:val="004233FC"/>
    <w:rsid w:val="00490A71"/>
    <w:rsid w:val="004F3CB1"/>
    <w:rsid w:val="005240D3"/>
    <w:rsid w:val="00583938"/>
    <w:rsid w:val="00623528"/>
    <w:rsid w:val="00735C64"/>
    <w:rsid w:val="0075327C"/>
    <w:rsid w:val="007539E4"/>
    <w:rsid w:val="00771CAB"/>
    <w:rsid w:val="00782281"/>
    <w:rsid w:val="00801EC1"/>
    <w:rsid w:val="00835320"/>
    <w:rsid w:val="008378DF"/>
    <w:rsid w:val="00842674"/>
    <w:rsid w:val="008F3326"/>
    <w:rsid w:val="009B5BD6"/>
    <w:rsid w:val="009D0EE4"/>
    <w:rsid w:val="009F1680"/>
    <w:rsid w:val="00A33276"/>
    <w:rsid w:val="00A452DE"/>
    <w:rsid w:val="00A551BB"/>
    <w:rsid w:val="00A746CD"/>
    <w:rsid w:val="00AE43FF"/>
    <w:rsid w:val="00B46208"/>
    <w:rsid w:val="00B8276B"/>
    <w:rsid w:val="00BA17BA"/>
    <w:rsid w:val="00C05774"/>
    <w:rsid w:val="00C4187D"/>
    <w:rsid w:val="00C765BF"/>
    <w:rsid w:val="00C8502A"/>
    <w:rsid w:val="00CA77E7"/>
    <w:rsid w:val="00CB5766"/>
    <w:rsid w:val="00D23E4D"/>
    <w:rsid w:val="00D51E42"/>
    <w:rsid w:val="00D74030"/>
    <w:rsid w:val="00D941B4"/>
    <w:rsid w:val="00DD641F"/>
    <w:rsid w:val="00DF68F1"/>
    <w:rsid w:val="00E04E5C"/>
    <w:rsid w:val="00E073BF"/>
    <w:rsid w:val="00E54AFF"/>
    <w:rsid w:val="00EC4F57"/>
    <w:rsid w:val="00F576A3"/>
    <w:rsid w:val="00FB1A76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0AD97-97DA-4FEF-8C6A-FA07ABE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A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0EE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B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C32CD-5D37-453E-B792-041A6D42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ПИЗО16</dc:creator>
  <cp:lastModifiedBy>Сельское поселение</cp:lastModifiedBy>
  <cp:revision>5</cp:revision>
  <cp:lastPrinted>2022-06-21T08:57:00Z</cp:lastPrinted>
  <dcterms:created xsi:type="dcterms:W3CDTF">2022-06-21T09:00:00Z</dcterms:created>
  <dcterms:modified xsi:type="dcterms:W3CDTF">2022-06-28T14:20:00Z</dcterms:modified>
</cp:coreProperties>
</file>