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854"/>
        <w:gridCol w:w="4375"/>
      </w:tblGrid>
      <w:tr w:rsidR="004221B3" w:rsidRPr="004221B3" w:rsidTr="004221B3">
        <w:trPr>
          <w:trHeight w:val="2127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21B3" w:rsidRPr="004221B3" w:rsidRDefault="004221B3" w:rsidP="004221B3">
            <w:pPr>
              <w:keepNext/>
              <w:spacing w:before="240" w:after="60" w:line="256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ГЛАВА</w:t>
            </w:r>
          </w:p>
          <w:p w:rsidR="004221B3" w:rsidRPr="004221B3" w:rsidRDefault="004221B3" w:rsidP="004221B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МУНИЦИПАЛЬНОГО</w:t>
            </w:r>
          </w:p>
          <w:p w:rsidR="004221B3" w:rsidRPr="004221B3" w:rsidRDefault="004221B3" w:rsidP="004221B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ОБРАЗОВАНИЯ</w:t>
            </w:r>
          </w:p>
          <w:p w:rsidR="004221B3" w:rsidRPr="004221B3" w:rsidRDefault="004221B3" w:rsidP="004221B3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«НОВОИШТЕРЯКСКОЕ</w:t>
            </w: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СЕЛЬСКОЕ ПОСЕЛЕНИЕ» ЛЕНИНОГОРСКОГО МУНИЦИПАЛЬНОГО РАЙОНА РЕСПУБЛИКИ ТАТАРСТАН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1B3" w:rsidRPr="004221B3" w:rsidRDefault="004221B3" w:rsidP="004221B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ТАТАРСТАН РЕСПУБЛИКАСЫ</w:t>
            </w: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ЛЕНИНОГОРСК</w:t>
            </w: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МУНИЦИПАЛЬ РАЙОНЫ</w:t>
            </w: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Pr="004221B3">
              <w:rPr>
                <w:rFonts w:ascii="Arial" w:eastAsia="Times New Roman" w:hAnsi="Arial" w:cs="Arial"/>
                <w:bCs/>
                <w:sz w:val="24"/>
                <w:szCs w:val="24"/>
                <w:lang w:val="tt-RU"/>
              </w:rPr>
              <w:t>ЯҢА ИШТИРӘК</w:t>
            </w: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АВЫЛ ҖИРЛЕГЕ»</w:t>
            </w: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</w:t>
            </w: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bCs/>
                <w:sz w:val="24"/>
                <w:szCs w:val="24"/>
              </w:rPr>
              <w:t>БЕРӘМЛЕГЕ</w:t>
            </w:r>
          </w:p>
          <w:p w:rsidR="004221B3" w:rsidRPr="004221B3" w:rsidRDefault="004221B3" w:rsidP="004221B3">
            <w:pPr>
              <w:spacing w:after="0" w:line="256" w:lineRule="auto"/>
              <w:ind w:left="742" w:hanging="7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21B3">
              <w:rPr>
                <w:rFonts w:ascii="Arial" w:eastAsia="Times New Roman" w:hAnsi="Arial" w:cs="Arial"/>
                <w:sz w:val="24"/>
                <w:szCs w:val="24"/>
              </w:rPr>
              <w:t>БАШЛЫГЫ</w:t>
            </w:r>
          </w:p>
        </w:tc>
      </w:tr>
    </w:tbl>
    <w:p w:rsidR="004221B3" w:rsidRPr="004221B3" w:rsidRDefault="004221B3" w:rsidP="004221B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221B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221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</w:t>
      </w:r>
      <w:r w:rsidRPr="004221B3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                                                   КАРАР</w:t>
      </w:r>
    </w:p>
    <w:p w:rsidR="004221B3" w:rsidRPr="004221B3" w:rsidRDefault="004221B3" w:rsidP="004221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1B3" w:rsidRPr="004221B3" w:rsidRDefault="004221B3" w:rsidP="004221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4221B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4221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</w:t>
      </w:r>
      <w:r w:rsidRPr="004221B3">
        <w:rPr>
          <w:rFonts w:ascii="Arial" w:eastAsia="Times New Roman" w:hAnsi="Arial" w:cs="Arial"/>
          <w:sz w:val="24"/>
          <w:szCs w:val="24"/>
          <w:lang w:eastAsia="ru-RU"/>
        </w:rPr>
        <w:t xml:space="preserve">  2021 </w:t>
      </w:r>
      <w:proofErr w:type="spellStart"/>
      <w:r w:rsidRPr="004221B3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4221B3">
        <w:rPr>
          <w:rFonts w:ascii="Arial" w:eastAsia="Times New Roman" w:hAnsi="Arial" w:cs="Arial"/>
          <w:sz w:val="24"/>
          <w:szCs w:val="24"/>
          <w:lang w:eastAsia="ru-RU"/>
        </w:rPr>
        <w:t xml:space="preserve"> 13 декабре                      </w:t>
      </w:r>
      <w:r w:rsidRPr="004221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№7</w:t>
      </w:r>
    </w:p>
    <w:p w:rsidR="00383D87" w:rsidRDefault="00383D87"/>
    <w:p w:rsidR="004221B3" w:rsidRPr="004221B3" w:rsidRDefault="004221B3" w:rsidP="004221B3">
      <w:pPr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2022 </w:t>
      </w:r>
      <w:proofErr w:type="spellStart"/>
      <w:r w:rsidRPr="004221B3">
        <w:rPr>
          <w:rFonts w:ascii="Arial" w:hAnsi="Arial" w:cs="Arial"/>
          <w:sz w:val="24"/>
          <w:szCs w:val="24"/>
        </w:rPr>
        <w:t>елга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һәм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Pr="004221B3">
        <w:rPr>
          <w:rFonts w:ascii="Arial" w:hAnsi="Arial" w:cs="Arial"/>
          <w:sz w:val="24"/>
          <w:szCs w:val="24"/>
        </w:rPr>
        <w:t>һәм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2024</w:t>
      </w:r>
      <w:r w:rsidRPr="004221B3">
        <w:rPr>
          <w:rFonts w:ascii="Arial" w:hAnsi="Arial" w:cs="Arial"/>
          <w:sz w:val="24"/>
          <w:szCs w:val="24"/>
        </w:rPr>
        <w:br/>
      </w:r>
      <w:proofErr w:type="spellStart"/>
      <w:r w:rsidRPr="004221B3">
        <w:rPr>
          <w:rFonts w:ascii="Arial" w:hAnsi="Arial" w:cs="Arial"/>
          <w:sz w:val="24"/>
          <w:szCs w:val="24"/>
        </w:rPr>
        <w:t>еллар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план </w:t>
      </w:r>
      <w:proofErr w:type="spellStart"/>
      <w:r w:rsidRPr="004221B3">
        <w:rPr>
          <w:rFonts w:ascii="Arial" w:hAnsi="Arial" w:cs="Arial"/>
          <w:sz w:val="24"/>
          <w:szCs w:val="24"/>
        </w:rPr>
        <w:t>чорына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221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221B3">
        <w:rPr>
          <w:rFonts w:ascii="Arial" w:hAnsi="Arial" w:cs="Arial"/>
          <w:sz w:val="24"/>
          <w:szCs w:val="24"/>
        </w:rPr>
        <w:br/>
        <w:t xml:space="preserve">Лениногорск </w:t>
      </w:r>
      <w:proofErr w:type="spell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районы </w:t>
      </w:r>
      <w:r w:rsidRPr="004221B3">
        <w:rPr>
          <w:rFonts w:ascii="Arial" w:hAnsi="Arial" w:cs="Arial"/>
          <w:sz w:val="24"/>
          <w:szCs w:val="24"/>
        </w:rPr>
        <w:br/>
        <w:t>«</w:t>
      </w:r>
      <w:proofErr w:type="spellStart"/>
      <w:r w:rsidRPr="004221B3">
        <w:rPr>
          <w:rFonts w:ascii="Arial" w:hAnsi="Arial" w:cs="Arial"/>
          <w:sz w:val="24"/>
          <w:szCs w:val="24"/>
        </w:rPr>
        <w:t>Яңа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Иштирәк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авыл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җирлеге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» </w:t>
      </w:r>
      <w:r w:rsidRPr="004221B3">
        <w:rPr>
          <w:rFonts w:ascii="Arial" w:hAnsi="Arial" w:cs="Arial"/>
          <w:sz w:val="24"/>
          <w:szCs w:val="24"/>
        </w:rPr>
        <w:br/>
      </w:r>
      <w:proofErr w:type="spell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берәмлеге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бюджеты </w:t>
      </w:r>
      <w:r w:rsidRPr="004221B3">
        <w:rPr>
          <w:rFonts w:ascii="Arial" w:hAnsi="Arial" w:cs="Arial"/>
          <w:sz w:val="24"/>
          <w:szCs w:val="24"/>
        </w:rPr>
        <w:br/>
      </w:r>
      <w:proofErr w:type="spellStart"/>
      <w:r w:rsidRPr="004221B3">
        <w:rPr>
          <w:rFonts w:ascii="Arial" w:hAnsi="Arial" w:cs="Arial"/>
          <w:sz w:val="24"/>
          <w:szCs w:val="24"/>
        </w:rPr>
        <w:t>керемнәренең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баш </w:t>
      </w:r>
      <w:proofErr w:type="spellStart"/>
      <w:r w:rsidRPr="004221B3">
        <w:rPr>
          <w:rFonts w:ascii="Arial" w:hAnsi="Arial" w:cs="Arial"/>
          <w:sz w:val="24"/>
          <w:szCs w:val="24"/>
        </w:rPr>
        <w:t>администраторлары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r w:rsidRPr="004221B3">
        <w:rPr>
          <w:rFonts w:ascii="Arial" w:hAnsi="Arial" w:cs="Arial"/>
          <w:sz w:val="24"/>
          <w:szCs w:val="24"/>
        </w:rPr>
        <w:br/>
      </w:r>
      <w:proofErr w:type="spellStart"/>
      <w:r w:rsidRPr="004221B3">
        <w:rPr>
          <w:rFonts w:ascii="Arial" w:hAnsi="Arial" w:cs="Arial"/>
          <w:sz w:val="24"/>
          <w:szCs w:val="24"/>
        </w:rPr>
        <w:t>исемлеген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раслау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турында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</w:p>
    <w:p w:rsidR="004221B3" w:rsidRPr="004221B3" w:rsidRDefault="004221B3" w:rsidP="004221B3">
      <w:pPr>
        <w:rPr>
          <w:rFonts w:ascii="Arial" w:hAnsi="Arial" w:cs="Arial"/>
          <w:sz w:val="24"/>
          <w:szCs w:val="24"/>
        </w:rPr>
      </w:pPr>
    </w:p>
    <w:p w:rsidR="004221B3" w:rsidRPr="004221B3" w:rsidRDefault="004221B3" w:rsidP="004221B3">
      <w:pPr>
        <w:ind w:firstLine="708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Pr="004221B3">
        <w:rPr>
          <w:rFonts w:ascii="Arial" w:hAnsi="Arial" w:cs="Arial"/>
          <w:sz w:val="24"/>
          <w:szCs w:val="24"/>
        </w:rPr>
        <w:t>Фе</w:t>
      </w:r>
      <w:r w:rsidR="00844093">
        <w:rPr>
          <w:rFonts w:ascii="Arial" w:hAnsi="Arial" w:cs="Arial"/>
          <w:sz w:val="24"/>
          <w:szCs w:val="24"/>
        </w:rPr>
        <w:t>дерациясе</w:t>
      </w:r>
      <w:proofErr w:type="spellEnd"/>
      <w:r w:rsidR="00844093">
        <w:rPr>
          <w:rFonts w:ascii="Arial" w:hAnsi="Arial" w:cs="Arial"/>
          <w:sz w:val="24"/>
          <w:szCs w:val="24"/>
        </w:rPr>
        <w:t xml:space="preserve"> Бюджет </w:t>
      </w:r>
      <w:proofErr w:type="spellStart"/>
      <w:r w:rsidR="00844093">
        <w:rPr>
          <w:rFonts w:ascii="Arial" w:hAnsi="Arial" w:cs="Arial"/>
          <w:sz w:val="24"/>
          <w:szCs w:val="24"/>
        </w:rPr>
        <w:t>кодексының</w:t>
      </w:r>
      <w:proofErr w:type="spellEnd"/>
      <w:r w:rsidR="00844093">
        <w:rPr>
          <w:rFonts w:ascii="Arial" w:hAnsi="Arial" w:cs="Arial"/>
          <w:sz w:val="24"/>
          <w:szCs w:val="24"/>
        </w:rPr>
        <w:t xml:space="preserve"> </w:t>
      </w:r>
      <w:r w:rsidR="00844093" w:rsidRPr="00543743">
        <w:rPr>
          <w:rFonts w:ascii="Arial" w:hAnsi="Arial" w:cs="Arial"/>
        </w:rPr>
        <w:t>160</w:t>
      </w:r>
      <w:r w:rsidR="00844093" w:rsidRPr="00543743">
        <w:rPr>
          <w:rFonts w:ascii="Arial" w:hAnsi="Arial" w:cs="Arial"/>
          <w:vertAlign w:val="superscript"/>
        </w:rPr>
        <w:t>1</w:t>
      </w:r>
      <w:bookmarkStart w:id="0" w:name="_GoBack"/>
      <w:bookmarkEnd w:id="0"/>
      <w:r w:rsidR="00844093">
        <w:rPr>
          <w:rFonts w:ascii="Arial" w:hAnsi="Arial" w:cs="Arial"/>
          <w:sz w:val="24"/>
          <w:szCs w:val="24"/>
        </w:rPr>
        <w:t xml:space="preserve"> статьясындагы</w:t>
      </w:r>
      <w:r w:rsidR="00844093">
        <w:rPr>
          <w:rFonts w:ascii="Arial" w:hAnsi="Arial" w:cs="Arial"/>
          <w:sz w:val="24"/>
          <w:szCs w:val="24"/>
          <w:lang w:val="tt-RU"/>
        </w:rPr>
        <w:t xml:space="preserve"> </w:t>
      </w:r>
      <w:proofErr w:type="gramStart"/>
      <w:r w:rsidR="00844093" w:rsidRPr="00543743">
        <w:rPr>
          <w:rFonts w:ascii="Arial" w:hAnsi="Arial" w:cs="Arial"/>
        </w:rPr>
        <w:t>3</w:t>
      </w:r>
      <w:r w:rsidR="00844093" w:rsidRPr="00543743">
        <w:rPr>
          <w:rFonts w:ascii="Arial" w:hAnsi="Arial" w:cs="Arial"/>
          <w:vertAlign w:val="superscript"/>
        </w:rPr>
        <w:t>2</w:t>
      </w:r>
      <w:r w:rsidR="00844093">
        <w:rPr>
          <w:rFonts w:ascii="Arial" w:hAnsi="Arial" w:cs="Arial"/>
          <w:sz w:val="24"/>
          <w:szCs w:val="24"/>
        </w:rPr>
        <w:t xml:space="preserve"> </w:t>
      </w:r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пунктының</w:t>
      </w:r>
      <w:proofErr w:type="spellEnd"/>
      <w:proofErr w:type="gram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өченче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абзацы </w:t>
      </w:r>
      <w:proofErr w:type="spellStart"/>
      <w:r w:rsidRPr="004221B3">
        <w:rPr>
          <w:rFonts w:ascii="Arial" w:hAnsi="Arial" w:cs="Arial"/>
          <w:sz w:val="24"/>
          <w:szCs w:val="24"/>
        </w:rPr>
        <w:t>нигезендә</w:t>
      </w:r>
      <w:proofErr w:type="spellEnd"/>
      <w:r w:rsidRPr="004221B3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карар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бирәм</w:t>
      </w:r>
      <w:proofErr w:type="spellEnd"/>
      <w:r w:rsidRPr="004221B3">
        <w:rPr>
          <w:rFonts w:ascii="Arial" w:hAnsi="Arial" w:cs="Arial"/>
          <w:sz w:val="24"/>
          <w:szCs w:val="24"/>
        </w:rPr>
        <w:t>:</w:t>
      </w:r>
      <w:r w:rsidRPr="004221B3">
        <w:rPr>
          <w:rFonts w:ascii="Arial" w:hAnsi="Arial" w:cs="Arial"/>
          <w:sz w:val="24"/>
          <w:szCs w:val="24"/>
        </w:rPr>
        <w:br/>
      </w:r>
      <w:r w:rsidRPr="004221B3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Pr="004221B3">
        <w:rPr>
          <w:rFonts w:ascii="Arial" w:hAnsi="Arial" w:cs="Arial"/>
          <w:sz w:val="24"/>
          <w:szCs w:val="24"/>
        </w:rPr>
        <w:t xml:space="preserve">1. Татарстан </w:t>
      </w:r>
      <w:proofErr w:type="spellStart"/>
      <w:r w:rsidRPr="004221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Лениногорск </w:t>
      </w:r>
      <w:proofErr w:type="spell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районы «</w:t>
      </w:r>
      <w:proofErr w:type="spellStart"/>
      <w:r w:rsidRPr="004221B3">
        <w:rPr>
          <w:rFonts w:ascii="Arial" w:hAnsi="Arial" w:cs="Arial"/>
          <w:sz w:val="24"/>
          <w:szCs w:val="24"/>
        </w:rPr>
        <w:t>Яңа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Иштирәк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авыл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җирлеге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берәмлеге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бюджеты </w:t>
      </w:r>
      <w:proofErr w:type="spellStart"/>
      <w:r w:rsidRPr="004221B3">
        <w:rPr>
          <w:rFonts w:ascii="Arial" w:hAnsi="Arial" w:cs="Arial"/>
          <w:sz w:val="24"/>
          <w:szCs w:val="24"/>
        </w:rPr>
        <w:t>керемнәренең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баш </w:t>
      </w:r>
      <w:proofErr w:type="spellStart"/>
      <w:r w:rsidRPr="004221B3">
        <w:rPr>
          <w:rFonts w:ascii="Arial" w:hAnsi="Arial" w:cs="Arial"/>
          <w:sz w:val="24"/>
          <w:szCs w:val="24"/>
        </w:rPr>
        <w:t>администраторлары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исемлеген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расларга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. </w:t>
      </w:r>
      <w:r w:rsidRPr="004221B3">
        <w:rPr>
          <w:rFonts w:ascii="Arial" w:hAnsi="Arial" w:cs="Arial"/>
          <w:sz w:val="24"/>
          <w:szCs w:val="24"/>
        </w:rPr>
        <w:br/>
      </w:r>
      <w:r w:rsidRPr="004221B3">
        <w:rPr>
          <w:rFonts w:ascii="Arial" w:hAnsi="Arial" w:cs="Arial"/>
          <w:sz w:val="24"/>
          <w:szCs w:val="24"/>
          <w:lang w:val="tt-RU"/>
        </w:rPr>
        <w:t xml:space="preserve">              2. Әлеге карарны Лениногорск районы, Яңа Иштирәк авылы, Үзәк урам, 7 йорт адресы буенча урнашкан мәгълүмат стендларында халыкка җиткерергә, Лениногорск муниципаль районының рәсми сайтында (http://leninogorsk.tatarstan.ru) «Авыл җирлекләре» бүлегендә һәм Татарстан Республикасының хокукый мәгълүмат рәсми порталында (pravo.tatarstan.ru.) урнаштырырга.</w:t>
      </w:r>
      <w:r w:rsidRPr="004221B3">
        <w:rPr>
          <w:rFonts w:ascii="Arial" w:hAnsi="Arial" w:cs="Arial"/>
          <w:sz w:val="24"/>
          <w:szCs w:val="24"/>
          <w:lang w:val="tt-RU"/>
        </w:rPr>
        <w:br/>
        <w:t xml:space="preserve">             </w:t>
      </w:r>
      <w:r w:rsidRPr="004221B3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4221B3">
        <w:rPr>
          <w:rFonts w:ascii="Arial" w:hAnsi="Arial" w:cs="Arial"/>
          <w:sz w:val="24"/>
          <w:szCs w:val="24"/>
        </w:rPr>
        <w:t>Әлеге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карарның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үтәлешен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контрольдә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тотуны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үз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җаваплыгымда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калдырам</w:t>
      </w:r>
      <w:proofErr w:type="spellEnd"/>
      <w:r w:rsidRPr="004221B3">
        <w:rPr>
          <w:rFonts w:ascii="Arial" w:hAnsi="Arial" w:cs="Arial"/>
          <w:sz w:val="24"/>
          <w:szCs w:val="24"/>
        </w:rPr>
        <w:t>.</w:t>
      </w:r>
    </w:p>
    <w:p w:rsidR="004221B3" w:rsidRPr="004221B3" w:rsidRDefault="004221B3" w:rsidP="004221B3">
      <w:pPr>
        <w:rPr>
          <w:rFonts w:ascii="Arial" w:hAnsi="Arial" w:cs="Arial"/>
          <w:sz w:val="24"/>
          <w:szCs w:val="24"/>
        </w:rPr>
      </w:pPr>
    </w:p>
    <w:p w:rsidR="004221B3" w:rsidRPr="004221B3" w:rsidRDefault="004221B3" w:rsidP="004221B3">
      <w:pPr>
        <w:rPr>
          <w:rFonts w:ascii="Arial" w:hAnsi="Arial" w:cs="Arial"/>
          <w:sz w:val="24"/>
          <w:szCs w:val="24"/>
        </w:rPr>
      </w:pPr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221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Лениногорск </w:t>
      </w:r>
      <w:proofErr w:type="spell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районы </w:t>
      </w:r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>«</w:t>
      </w:r>
      <w:proofErr w:type="spellStart"/>
      <w:r w:rsidRPr="004221B3">
        <w:rPr>
          <w:rFonts w:ascii="Arial" w:hAnsi="Arial" w:cs="Arial"/>
          <w:sz w:val="24"/>
          <w:szCs w:val="24"/>
        </w:rPr>
        <w:t>Яңа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Иштирәк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авыл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җирлеге</w:t>
      </w:r>
      <w:proofErr w:type="spellEnd"/>
      <w:r w:rsidRPr="004221B3">
        <w:rPr>
          <w:rFonts w:ascii="Arial" w:hAnsi="Arial" w:cs="Arial"/>
          <w:sz w:val="24"/>
          <w:szCs w:val="24"/>
        </w:rPr>
        <w:t>»</w:t>
      </w: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  <w:proofErr w:type="spellStart"/>
      <w:proofErr w:type="gram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proofErr w:type="gram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берәмлеге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башлыгы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                 </w:t>
      </w:r>
      <w:r w:rsidRPr="004221B3">
        <w:rPr>
          <w:rFonts w:ascii="Arial" w:hAnsi="Arial" w:cs="Arial"/>
          <w:sz w:val="24"/>
          <w:szCs w:val="24"/>
          <w:lang w:val="tt-RU"/>
        </w:rPr>
        <w:t xml:space="preserve">                                        </w:t>
      </w:r>
      <w:proofErr w:type="spellStart"/>
      <w:r w:rsidRPr="004221B3">
        <w:rPr>
          <w:rFonts w:ascii="Arial" w:hAnsi="Arial" w:cs="Arial"/>
          <w:sz w:val="24"/>
          <w:szCs w:val="24"/>
        </w:rPr>
        <w:t>Г.Р.Мәүлетова</w:t>
      </w:r>
      <w:proofErr w:type="spellEnd"/>
      <w:r w:rsidRPr="004221B3">
        <w:rPr>
          <w:rFonts w:ascii="Arial" w:hAnsi="Arial" w:cs="Arial"/>
          <w:sz w:val="24"/>
          <w:szCs w:val="24"/>
          <w:lang w:val="tt-RU"/>
        </w:rPr>
        <w:t xml:space="preserve">            </w:t>
      </w: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  <w:sectPr w:rsidR="004221B3" w:rsidSect="004221B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4221B3" w:rsidRDefault="004221B3" w:rsidP="004221B3">
      <w:pPr>
        <w:spacing w:after="0"/>
        <w:jc w:val="right"/>
        <w:rPr>
          <w:rFonts w:ascii="Arial" w:hAnsi="Arial" w:cs="Arial"/>
          <w:sz w:val="24"/>
          <w:szCs w:val="24"/>
          <w:lang w:val="tt-RU"/>
        </w:rPr>
      </w:pPr>
    </w:p>
    <w:p w:rsidR="004221B3" w:rsidRPr="004221B3" w:rsidRDefault="004221B3" w:rsidP="004221B3">
      <w:pPr>
        <w:spacing w:after="0"/>
        <w:jc w:val="right"/>
        <w:rPr>
          <w:rFonts w:ascii="Arial" w:hAnsi="Arial" w:cs="Arial"/>
          <w:sz w:val="24"/>
          <w:szCs w:val="24"/>
          <w:lang w:val="tt-RU"/>
        </w:rPr>
      </w:pPr>
      <w:r w:rsidRPr="004221B3">
        <w:rPr>
          <w:rFonts w:ascii="Arial" w:hAnsi="Arial" w:cs="Arial"/>
          <w:sz w:val="24"/>
          <w:szCs w:val="24"/>
          <w:lang w:val="tt-RU"/>
        </w:rPr>
        <w:t>Яңа Иштирәк авыл җирлеге»</w:t>
      </w:r>
    </w:p>
    <w:p w:rsidR="004221B3" w:rsidRPr="004221B3" w:rsidRDefault="004221B3" w:rsidP="004221B3">
      <w:pPr>
        <w:spacing w:after="0"/>
        <w:jc w:val="right"/>
        <w:rPr>
          <w:rFonts w:ascii="Arial" w:hAnsi="Arial" w:cs="Arial"/>
          <w:sz w:val="24"/>
          <w:szCs w:val="24"/>
          <w:lang w:val="tt-RU"/>
        </w:rPr>
      </w:pPr>
      <w:r w:rsidRPr="004221B3">
        <w:rPr>
          <w:rFonts w:ascii="Arial" w:hAnsi="Arial" w:cs="Arial"/>
          <w:sz w:val="24"/>
          <w:szCs w:val="24"/>
          <w:lang w:val="tt-RU"/>
        </w:rPr>
        <w:t>муниципаль берәмлеге башлыгының</w:t>
      </w:r>
    </w:p>
    <w:p w:rsidR="004221B3" w:rsidRPr="004221B3" w:rsidRDefault="004221B3" w:rsidP="004221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2021 </w:t>
      </w:r>
      <w:proofErr w:type="spellStart"/>
      <w:r w:rsidRPr="004221B3">
        <w:rPr>
          <w:rFonts w:ascii="Arial" w:hAnsi="Arial" w:cs="Arial"/>
          <w:sz w:val="24"/>
          <w:szCs w:val="24"/>
        </w:rPr>
        <w:t>елның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13 </w:t>
      </w:r>
      <w:proofErr w:type="spellStart"/>
      <w:r w:rsidRPr="004221B3">
        <w:rPr>
          <w:rFonts w:ascii="Arial" w:hAnsi="Arial" w:cs="Arial"/>
          <w:sz w:val="24"/>
          <w:szCs w:val="24"/>
        </w:rPr>
        <w:t>декабрендәге</w:t>
      </w:r>
      <w:proofErr w:type="spellEnd"/>
    </w:p>
    <w:p w:rsidR="004221B3" w:rsidRPr="004221B3" w:rsidRDefault="004221B3" w:rsidP="004221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номерлы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карары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белән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расланды</w:t>
      </w:r>
      <w:proofErr w:type="spellEnd"/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</w:p>
    <w:p w:rsidR="004221B3" w:rsidRPr="004221B3" w:rsidRDefault="004221B3" w:rsidP="004221B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4221B3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Лениногорск </w:t>
      </w:r>
      <w:proofErr w:type="spellStart"/>
      <w:r w:rsidRPr="004221B3">
        <w:rPr>
          <w:rFonts w:ascii="Arial" w:hAnsi="Arial" w:cs="Arial"/>
          <w:sz w:val="24"/>
          <w:szCs w:val="24"/>
        </w:rPr>
        <w:t>муниципаль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районы «</w:t>
      </w:r>
      <w:proofErr w:type="spellStart"/>
      <w:r w:rsidRPr="004221B3">
        <w:rPr>
          <w:rFonts w:ascii="Arial" w:hAnsi="Arial" w:cs="Arial"/>
          <w:sz w:val="24"/>
          <w:szCs w:val="24"/>
        </w:rPr>
        <w:t>Яңа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Иштирәк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авыл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221B3">
        <w:rPr>
          <w:rFonts w:ascii="Arial" w:hAnsi="Arial" w:cs="Arial"/>
          <w:sz w:val="24"/>
          <w:szCs w:val="24"/>
        </w:rPr>
        <w:t>җирлеге»муниципаль</w:t>
      </w:r>
      <w:proofErr w:type="spellEnd"/>
      <w:proofErr w:type="gram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берәмлеге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бюджеты </w:t>
      </w:r>
      <w:proofErr w:type="spellStart"/>
      <w:r w:rsidRPr="004221B3">
        <w:rPr>
          <w:rFonts w:ascii="Arial" w:hAnsi="Arial" w:cs="Arial"/>
          <w:sz w:val="24"/>
          <w:szCs w:val="24"/>
        </w:rPr>
        <w:t>керемнәренең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Баш </w:t>
      </w:r>
      <w:proofErr w:type="spellStart"/>
      <w:r w:rsidRPr="004221B3">
        <w:rPr>
          <w:rFonts w:ascii="Arial" w:hAnsi="Arial" w:cs="Arial"/>
          <w:sz w:val="24"/>
          <w:szCs w:val="24"/>
        </w:rPr>
        <w:t>администраторлары</w:t>
      </w:r>
      <w:proofErr w:type="spellEnd"/>
      <w:r w:rsidRPr="0042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1B3">
        <w:rPr>
          <w:rFonts w:ascii="Arial" w:hAnsi="Arial" w:cs="Arial"/>
          <w:sz w:val="24"/>
          <w:szCs w:val="24"/>
        </w:rPr>
        <w:t>исемлеге</w:t>
      </w:r>
      <w:proofErr w:type="spellEnd"/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102"/>
        <w:gridCol w:w="3420"/>
        <w:gridCol w:w="9470"/>
      </w:tblGrid>
      <w:tr w:rsidR="004221B3" w:rsidRPr="004221B3" w:rsidTr="001E66CD">
        <w:tc>
          <w:tcPr>
            <w:tcW w:w="5522" w:type="dxa"/>
            <w:gridSpan w:val="2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  <w:lang w:val="tt-RU"/>
              </w:rPr>
              <w:t>Б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юджет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классификациясе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коды</w:t>
            </w:r>
          </w:p>
        </w:tc>
        <w:tc>
          <w:tcPr>
            <w:tcW w:w="9470" w:type="dxa"/>
            <w:vMerge w:val="restart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Лениногорск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районының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Яңа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Иштирәк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»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берәмлеге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 администраторы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исеме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21B3">
              <w:rPr>
                <w:rFonts w:ascii="Arial" w:hAnsi="Arial" w:cs="Arial"/>
                <w:sz w:val="24"/>
                <w:szCs w:val="24"/>
                <w:lang w:val="tt-RU"/>
              </w:rPr>
              <w:t>/</w:t>
            </w:r>
            <w:r w:rsidRPr="004221B3">
              <w:rPr>
                <w:rFonts w:ascii="Arial" w:hAnsi="Arial" w:cs="Arial"/>
                <w:sz w:val="24"/>
                <w:szCs w:val="24"/>
              </w:rPr>
              <w:t xml:space="preserve">Татарстан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Лениногорск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районының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Яңа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Иштирәк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берәмлеге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бюджеты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төренең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коды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исеме</w:t>
            </w:r>
            <w:proofErr w:type="spellEnd"/>
          </w:p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221B3">
              <w:rPr>
                <w:rFonts w:ascii="Arial" w:hAnsi="Arial" w:cs="Arial"/>
                <w:sz w:val="24"/>
                <w:szCs w:val="24"/>
              </w:rPr>
              <w:t>керемнәрнең</w:t>
            </w:r>
            <w:proofErr w:type="spellEnd"/>
            <w:proofErr w:type="gram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 администраторы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Татарстан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Лениногорск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районының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Яңа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Иштирәк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берәмлеге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бюджеты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221B3">
              <w:rPr>
                <w:rFonts w:ascii="Arial" w:hAnsi="Arial" w:cs="Arial"/>
                <w:sz w:val="24"/>
                <w:szCs w:val="24"/>
                <w:lang w:val="tt-RU"/>
              </w:rPr>
              <w:t>төренең төре</w:t>
            </w:r>
            <w:r w:rsidRPr="004221B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470" w:type="dxa"/>
            <w:vMerge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2890" w:type="dxa"/>
            <w:gridSpan w:val="2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хезмәтенең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Татарстан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идарәсе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Чыганагы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агенты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исәпләү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кодексының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227, 227.1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228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статьялары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ашырыла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шәхси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эшмәкәрләр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нотариуслар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шәхси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практика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белән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шөгыльләнүче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адвокатлар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Адвокатлар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кодексының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227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статьясы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хосусый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практика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белән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шөгыльләнүче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кодексының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228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статьясы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кодексының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227.1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статьясы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патент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наем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хезмәт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эшчәнлеген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башкаручы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ил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гражданнары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булып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торучы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алынган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беркетелгән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аванс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түләүләре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рәвешендә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суммасы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650 000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сумнан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артып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киткән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базасының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караган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5 000 000 000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сумнан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артып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киткән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контрольдә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тотыла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ил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компаниясе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табышыннан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lastRenderedPageBreak/>
              <w:t>шул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исәптән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контрольдә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тотыла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ил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компаниясенең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фиксацияләнгән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табышыннан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Бердәм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хуҗалыгы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салымы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чикләрендә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урнашкан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салу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объектларына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карата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кулланыла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ставкалар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чикләрендә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урнашкан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кишәрлегенә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оешмалардан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салымы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чикләрендә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урнашкан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кишәрлегенә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физик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салымы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12890" w:type="dxa"/>
            <w:gridSpan w:val="2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 «Лениногорск муниципаль районы» муниципаль берәмлегенең «Финанс-бюджет палатасы» муниципаль казна учреждениесе</w:t>
            </w: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9470" w:type="dxa"/>
            <w:vAlign w:val="bottom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үзидарә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нотариаль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кылуга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закон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актлары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вәкаләтле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вазыйфаи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нотариаль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кылган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дәүләт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пошлинасы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тиешле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яңадан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исәпләү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недоимка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бурыч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21B3">
              <w:rPr>
                <w:rFonts w:ascii="Arial" w:hAnsi="Arial" w:cs="Arial"/>
                <w:sz w:val="24"/>
                <w:szCs w:val="24"/>
              </w:rPr>
              <w:t>суммасы,шул</w:t>
            </w:r>
            <w:proofErr w:type="spellEnd"/>
            <w:proofErr w:type="gram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исәптән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чыгарылган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үзидарә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закон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актлары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нотариаль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кылуга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вәкаләтле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вазыйфаи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затлары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нотариаль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кылган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дәүләт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пошлинасы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эксплуатацияләүгә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бәйле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чыгымнарны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каплау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тәртибендә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чыгымнарын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компенсацияләүдән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орган,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казна </w:t>
            </w:r>
            <w:proofErr w:type="spellStart"/>
            <w:proofErr w:type="gramStart"/>
            <w:r w:rsidRPr="004221B3">
              <w:rPr>
                <w:rFonts w:ascii="Arial" w:hAnsi="Arial" w:cs="Arial"/>
                <w:sz w:val="24"/>
                <w:szCs w:val="24"/>
              </w:rPr>
              <w:t>учреждениесе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proofErr w:type="gram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каршындагы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йөкләмәләрне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үтәмәгән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яки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тиешенчә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үтәмәгән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очракта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закон яки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килешү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нигезендә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түләнгән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штрафлар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неустойка,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пенялар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1 16 10061 10 0000 140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җирлегенең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органы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казна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белән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контракт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төзүдән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читләшүгә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китерелгән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зыянны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каплау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максатларында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түләүләр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шулай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дәүләт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ихтыяҗларны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тәэмин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итү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товарлар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эшләр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хезмәт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күрсәтүләр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сатып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өлкәсендә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контракт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системасы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турында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Россия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Федерациясе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законнарын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бозган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күчерелергә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тиешле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юл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фонды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исәбеннән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финанслана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контракттан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lastRenderedPageBreak/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1 16 10100 10 0000 140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акчаларын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законсыз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яки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максатсыз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файдалану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нәтиҗәсендә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китерелгән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зыянны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каплауга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акчалата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түләтүләр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күчерелә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ачыкланмаган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булмаган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1 17 14030 10 0000 150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күчерелә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үзара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акчалары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районнар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тәэмин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ителешен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тигезләүгә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дотацияләр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субсидияләр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шәһәр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округларының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үзидарә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беренчел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хәрби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исәпкә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алуны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субвенцияләр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202 45160 10 0000 150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дәрәҗәдәге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хакимият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кабул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карарлар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нәтиҗәсендә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барлыкка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өстәмә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чыгымнарны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компенсацияләү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тапшырыла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трансфертлар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Артык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түләнгән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яисә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артык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салымнарны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җыемнарны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түләүләрне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кайтаруны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исәпкә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алуны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күчерү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шулай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мондый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кайтаруны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вакытында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башкармаган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процентлар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артык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суммаларга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исәпләнгән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процентлар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суммалары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2 18 05010 10 0000 150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Узган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еллардагы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субсидияләрнең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калган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өлешләрен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кайтарудан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керемнәре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2 19 45160 10 0000 150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дәрәҗәдәге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хакимият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тарафыннан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кабул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карарлар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нәтиҗәсендә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барлыкка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өстәмә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чыгымнарны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компенсацияләү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тапшырыла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трансфертларның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калган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өлешләрен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кайтару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Узган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еллардан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калган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максатчан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билгеләнештәге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субсидияләрне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субвенцияләрне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трансфертларны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бюджетларыннан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кайтару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12890" w:type="dxa"/>
            <w:gridSpan w:val="2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Татарстан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Республикасы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«Лениногорск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районы»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берәмлегенең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Мөлкәт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мөнәсәбәтләре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bCs/>
                <w:iCs/>
                <w:sz w:val="24"/>
                <w:szCs w:val="24"/>
              </w:rPr>
              <w:t>палатасы</w:t>
            </w:r>
            <w:proofErr w:type="spellEnd"/>
            <w:r w:rsidRPr="004221B3">
              <w:rPr>
                <w:rFonts w:ascii="Arial" w:hAnsi="Arial" w:cs="Arial"/>
                <w:bCs/>
                <w:iCs/>
                <w:sz w:val="24"/>
                <w:szCs w:val="24"/>
                <w:lang w:val="tt-RU"/>
              </w:rPr>
              <w:t xml:space="preserve"> муниципаль казна учреждениесе</w:t>
            </w:r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 xml:space="preserve">Аренда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түләве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рәвешендә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шулай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милкендәге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кишәрлекләреннән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аренда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шартнамәләре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төзү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хокукын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сатудан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lastRenderedPageBreak/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төзегән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оператив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идарәсендәге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арендага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тапшырудан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казнасын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төзи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кишәрлекләреннән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арендага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тапшырудан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төзегән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унитар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салымнар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түләгәннән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мәҗбүри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түләүләреннән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соң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калган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табыш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күчерүдән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милкендәге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шулай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унитар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исәптән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казна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залогка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ышанычлы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тапшырудан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алына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акчалар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карамагындагы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оператив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идарәсендәге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реализацияләүдән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күрсәтелгән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төп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чараларны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өлешендә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органнары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карамагындагы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учреждениеләрнең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оператив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идарәсендәге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реализацияләүдән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күрсәтелгән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матди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запасларны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өлешендә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милкендәге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шулай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унитар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исәптән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казна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реализацияләүдән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күрсәтелгән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төп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чараларны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өлешендә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милкендәге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мөлкәтне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шулай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ук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унитар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шул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исәптән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казна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предприятиеләре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реализацияләүдән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күрсәтелгән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мөлкәт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буенча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матди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запасларны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гамәлгә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ашыру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өлешендә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милкендәге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кишәрлекләрен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автоном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учреждениеләр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кишәрлекләреннән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тыш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сатудан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</w:tr>
      <w:tr w:rsidR="004221B3" w:rsidRPr="004221B3" w:rsidTr="001E66CD">
        <w:tc>
          <w:tcPr>
            <w:tcW w:w="2102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  <w:tc>
          <w:tcPr>
            <w:tcW w:w="342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221B3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9470" w:type="dxa"/>
          </w:tcPr>
          <w:p w:rsidR="004221B3" w:rsidRPr="004221B3" w:rsidRDefault="004221B3" w:rsidP="004221B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җирлекләре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бюджетларына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күчерелә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торган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ачыкланмаган</w:t>
            </w:r>
            <w:proofErr w:type="spellEnd"/>
            <w:r w:rsidRPr="004221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21B3">
              <w:rPr>
                <w:rFonts w:ascii="Arial" w:hAnsi="Arial" w:cs="Arial"/>
                <w:sz w:val="24"/>
                <w:szCs w:val="24"/>
              </w:rPr>
              <w:t>кертемнәр</w:t>
            </w:r>
            <w:proofErr w:type="spellEnd"/>
          </w:p>
        </w:tc>
      </w:tr>
    </w:tbl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</w:p>
    <w:p w:rsidR="004221B3" w:rsidRDefault="004221B3" w:rsidP="004221B3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4221B3" w:rsidRPr="004221B3" w:rsidRDefault="004221B3" w:rsidP="004221B3">
      <w:pPr>
        <w:spacing w:after="0"/>
        <w:rPr>
          <w:rFonts w:ascii="Arial" w:hAnsi="Arial" w:cs="Arial"/>
          <w:sz w:val="24"/>
          <w:szCs w:val="24"/>
        </w:rPr>
      </w:pPr>
      <w:r w:rsidRPr="004221B3">
        <w:rPr>
          <w:rFonts w:ascii="Arial" w:hAnsi="Arial" w:cs="Arial"/>
          <w:sz w:val="24"/>
          <w:szCs w:val="24"/>
          <w:lang w:val="tt-RU"/>
        </w:rPr>
        <w:t xml:space="preserve">                               </w:t>
      </w:r>
      <w:r w:rsidRPr="004221B3">
        <w:rPr>
          <w:rFonts w:ascii="Arial" w:hAnsi="Arial" w:cs="Arial"/>
          <w:sz w:val="24"/>
          <w:szCs w:val="24"/>
        </w:rPr>
        <w:t xml:space="preserve"> </w:t>
      </w:r>
    </w:p>
    <w:p w:rsidR="004221B3" w:rsidRDefault="004221B3"/>
    <w:sectPr w:rsidR="004221B3" w:rsidSect="004221B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E4"/>
    <w:rsid w:val="00383D87"/>
    <w:rsid w:val="004221B3"/>
    <w:rsid w:val="00844093"/>
    <w:rsid w:val="00B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0F42-CE3E-4CF5-B23E-5EC44B5C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Новоиштеряк</dc:creator>
  <cp:keywords/>
  <dc:description/>
  <cp:lastModifiedBy>Новоиштеряк</cp:lastModifiedBy>
  <cp:revision>4</cp:revision>
  <cp:lastPrinted>2021-12-15T10:05:00Z</cp:lastPrinted>
  <dcterms:created xsi:type="dcterms:W3CDTF">2021-12-15T09:45:00Z</dcterms:created>
  <dcterms:modified xsi:type="dcterms:W3CDTF">2021-12-15T10:07:00Z</dcterms:modified>
</cp:coreProperties>
</file>