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BB64FC">
        <w:rPr>
          <w:rFonts w:ascii="Times New Roman" w:eastAsia="Times New Roman" w:hAnsi="Times New Roman" w:cs="Arial"/>
          <w:sz w:val="28"/>
          <w:szCs w:val="28"/>
        </w:rPr>
        <w:t>К А Р А Р</w:t>
      </w: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BB64FC">
        <w:rPr>
          <w:rFonts w:ascii="Times New Roman" w:eastAsia="Times New Roman" w:hAnsi="Times New Roman" w:cs="Arial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</w:rPr>
        <w:t>5</w:t>
      </w: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  <w:r w:rsidRPr="00BB64FC">
        <w:rPr>
          <w:rFonts w:ascii="Times New Roman" w:eastAsia="Times New Roman" w:hAnsi="Times New Roman" w:cs="Arial"/>
          <w:sz w:val="28"/>
          <w:szCs w:val="28"/>
        </w:rPr>
        <w:t xml:space="preserve">                               </w:t>
      </w:r>
      <w:r w:rsidR="00DC19F7">
        <w:rPr>
          <w:rFonts w:ascii="Times New Roman" w:eastAsia="Times New Roman" w:hAnsi="Times New Roman" w:cs="Arial"/>
          <w:sz w:val="28"/>
          <w:szCs w:val="28"/>
        </w:rPr>
        <w:t xml:space="preserve">                              </w:t>
      </w:r>
      <w:r w:rsidRPr="00BB64FC">
        <w:rPr>
          <w:rFonts w:ascii="Times New Roman" w:eastAsia="Times New Roman" w:hAnsi="Times New Roman" w:cs="Arial"/>
          <w:sz w:val="28"/>
          <w:szCs w:val="28"/>
        </w:rPr>
        <w:t xml:space="preserve"> «</w:t>
      </w:r>
      <w:r>
        <w:rPr>
          <w:rFonts w:ascii="Times New Roman" w:eastAsia="Times New Roman" w:hAnsi="Times New Roman" w:cs="Arial"/>
          <w:sz w:val="28"/>
          <w:szCs w:val="28"/>
        </w:rPr>
        <w:t>23</w:t>
      </w:r>
      <w:r w:rsidR="00DC19F7">
        <w:rPr>
          <w:rFonts w:ascii="Times New Roman" w:eastAsia="Times New Roman" w:hAnsi="Times New Roman" w:cs="Arial"/>
          <w:sz w:val="28"/>
          <w:szCs w:val="28"/>
        </w:rPr>
        <w:t>» апрель 2021ел</w:t>
      </w:r>
    </w:p>
    <w:p w:rsidR="00200A93" w:rsidRDefault="00200A93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Pr="00200A93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537693" w:rsidRPr="00781794" w:rsidRDefault="00240B31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4349750" cy="1790700"/>
                <wp:effectExtent l="12700" t="5715" r="9525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32B" w:rsidRDefault="00DC19F7" w:rsidP="00200A93">
                            <w:pPr>
                              <w:ind w:right="601"/>
                              <w:jc w:val="both"/>
                            </w:pPr>
                            <w:bookmarkStart w:id="0" w:name="_GoBack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Лениногорск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районы Лениногорск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шәһәре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берәмлегенең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биләмәләреннән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файдалану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һәм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кагыйдәләренең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шәһәр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төзелеше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зоналары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картасына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16:51:010501:4532 кадастр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номеры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белән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җир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кишәрлегенә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карата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үзгәреш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кертү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проектын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әзерләү</w:t>
                            </w:r>
                            <w:proofErr w:type="spellEnd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proofErr w:type="spellStart"/>
                            <w:r w:rsidRPr="00DC19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турында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0B732B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подготовке</w:t>
                            </w:r>
                            <w:proofErr w:type="spellEnd"/>
                            <w:r w:rsidR="000B732B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проекта внесения изменения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732B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карту градостроительного зонирования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732B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Правил землепользования и </w:t>
                            </w:r>
                            <w:r w:rsidR="00200A93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застройки </w:t>
                            </w:r>
                            <w:r w:rsidR="00200A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="000B732B"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образования город Лениногорск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732B"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Лениногорского муниципального района Республики Татарстан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732B"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отношении </w:t>
                            </w:r>
                            <w:r w:rsidR="000B732B"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="000B732B"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0B73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с кадастровым номером </w:t>
                            </w:r>
                            <w:r w:rsidR="000B732B"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16:51:01</w:t>
                            </w:r>
                            <w:r w:rsidR="006014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0501:4532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15pt;margin-top:-.1pt;width:342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" strokecolor="white [3212]">
                <v:textbox>
                  <w:txbxContent>
                    <w:p w:rsidR="000B732B" w:rsidRDefault="00DC19F7" w:rsidP="00200A93">
                      <w:pPr>
                        <w:ind w:right="601"/>
                        <w:jc w:val="both"/>
                      </w:pPr>
                      <w:bookmarkStart w:id="1" w:name="_GoBack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Лениногорск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районы Лениногорск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шәһәре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берәмлегенең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биләмәләреннән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файдалану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һәм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кагыйдәләренең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шәһәр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төзелеше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зоналары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картасына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16:51:010501:4532 кадастр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номеры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белән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җир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кишәрлегенә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карата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үзгәреш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кертү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проектын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әзерләү</w:t>
                      </w:r>
                      <w:proofErr w:type="spellEnd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proofErr w:type="spellStart"/>
                      <w:r w:rsidRPr="00DC19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турында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0B732B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подготовке</w:t>
                      </w:r>
                      <w:proofErr w:type="spellEnd"/>
                      <w:r w:rsidR="000B732B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проекта внесения изменения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B732B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карту градостроительного зонирования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B732B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Правил землепользования и </w:t>
                      </w:r>
                      <w:r w:rsidR="00200A93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застройки </w:t>
                      </w:r>
                      <w:r w:rsidR="00200A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муниципального</w:t>
                      </w:r>
                      <w:r w:rsidR="000B732B"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образования город Лениногорск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B732B"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Лениногорского муниципального района Республики Татарстан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B732B"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отношении </w:t>
                      </w:r>
                      <w:r w:rsidR="000B732B"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ого</w:t>
                      </w:r>
                      <w:r w:rsidR="000B732B"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участк</w:t>
                      </w:r>
                      <w:r w:rsidR="000B73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с кадастровым номером </w:t>
                      </w:r>
                      <w:r w:rsidR="000B732B"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16:51:01</w:t>
                      </w:r>
                      <w:r w:rsidR="006014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0501:4532</w:t>
                      </w:r>
                    </w:p>
                  </w:txbxContent>
                </v:textbox>
              </v:shape>
            </w:pict>
          </mc:Fallback>
        </mc:AlternateConten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19F7" w:rsidRDefault="00DC19F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9F7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>ексының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DC19F7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9F7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tt-RU"/>
        </w:rPr>
        <w:t>се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нең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2020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елның 23 декабрендәге </w:t>
      </w:r>
      <w:r w:rsidRPr="00DC19F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9F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C19F7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DC19F7" w:rsidRDefault="00DC19F7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B41" w:rsidRPr="002B46FE" w:rsidRDefault="002B46FE" w:rsidP="002B46FE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E84EA5" w:rsidRPr="00E84EA5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районы, Лениногорск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, Чайковский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., 2а адресы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16:51:010501:4743 кадастр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карата, 16: 51:010501:4743 кадастр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бинаны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реконструкцияләү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EA5" w:rsidRPr="00E84EA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84EA5" w:rsidRPr="00E84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коммерция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B46FE"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декабренд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әге</w:t>
      </w:r>
      <w:r w:rsidRPr="002B46FE"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ИТ-4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зонасын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(транспорт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) Д-1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зонасына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эшлекле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иҗтимагый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коммерция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билгеләнешендәге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B46FE">
        <w:rPr>
          <w:rFonts w:ascii="Times New Roman" w:hAnsi="Times New Roman" w:cs="Times New Roman"/>
          <w:sz w:val="28"/>
          <w:szCs w:val="28"/>
        </w:rPr>
        <w:t xml:space="preserve">она)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46FE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зоналары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2B4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FE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72B41" w:rsidRDefault="00A72B41" w:rsidP="00A72B41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2.</w:t>
      </w:r>
      <w:r w:rsidRPr="00A72B41">
        <w:rPr>
          <w:rFonts w:ascii="Times New Roman" w:hAnsi="Times New Roman" w:cs="Times New Roman"/>
          <w:sz w:val="28"/>
          <w:szCs w:val="28"/>
          <w:lang w:val="tt-RU"/>
        </w:rPr>
        <w:t>Үзгәрешләр кертү проектын әзерләү буенча эшләрне үткәрү тәртибен һәм срокларын билгеләргә.</w:t>
      </w:r>
    </w:p>
    <w:p w:rsidR="00293540" w:rsidRPr="00A72B41" w:rsidRDefault="00A72B41" w:rsidP="00A72B41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3.</w:t>
      </w:r>
      <w:r w:rsidR="00DC19F7" w:rsidRPr="00A72B41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Лениногорск муниципаль районының рәсми сайтында бастырып чыгарырга </w:t>
      </w:r>
      <w:r w:rsidR="005A054F" w:rsidRPr="00A72B41">
        <w:rPr>
          <w:rFonts w:ascii="Times New Roman" w:hAnsi="Times New Roman" w:cs="Times New Roman"/>
          <w:sz w:val="28"/>
          <w:szCs w:val="28"/>
          <w:lang w:val="tt-RU"/>
        </w:rPr>
        <w:t>http://Leninogorsk.tatar.ru.</w:t>
      </w:r>
    </w:p>
    <w:p w:rsidR="00441557" w:rsidRPr="00A72B41" w:rsidRDefault="00DC19F7" w:rsidP="00A72B41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 артымда калдырам</w:t>
      </w:r>
      <w:r w:rsidR="00161209" w:rsidRPr="00A72B4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A46FC" w:rsidRPr="00A72B41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2D73" w:rsidRPr="00781794" w:rsidRDefault="00DC19F7" w:rsidP="00DD2D7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33217A">
        <w:rPr>
          <w:rFonts w:ascii="Times New Roman" w:hAnsi="Times New Roman" w:cs="Times New Roman"/>
          <w:sz w:val="28"/>
          <w:szCs w:val="28"/>
        </w:rPr>
        <w:t>Р.Р.</w:t>
      </w:r>
      <w:r w:rsidR="00917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7A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00A93" w:rsidRPr="00200A93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 xml:space="preserve">О.В. Куприянова </w:t>
      </w:r>
    </w:p>
    <w:p w:rsidR="00E275A1" w:rsidRPr="00200A93" w:rsidRDefault="00E275A1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>5-</w:t>
      </w:r>
      <w:r w:rsidR="00917984" w:rsidRPr="00200A93">
        <w:rPr>
          <w:rFonts w:ascii="Times New Roman" w:hAnsi="Times New Roman" w:cs="Times New Roman"/>
          <w:szCs w:val="24"/>
        </w:rPr>
        <w:t>45-80</w:t>
      </w:r>
    </w:p>
    <w:p w:rsidR="00200A93" w:rsidRPr="00200A93" w:rsidRDefault="00200A93" w:rsidP="0019504E">
      <w:pPr>
        <w:pStyle w:val="a4"/>
        <w:rPr>
          <w:rFonts w:ascii="Times New Roman" w:hAnsi="Times New Roman" w:cs="Times New Roman"/>
          <w:sz w:val="4"/>
          <w:szCs w:val="24"/>
        </w:rPr>
      </w:pPr>
    </w:p>
    <w:p w:rsidR="00200A93" w:rsidRPr="00200A93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 xml:space="preserve">О.С. Глухова </w:t>
      </w:r>
    </w:p>
    <w:p w:rsidR="00917984" w:rsidRPr="00240B31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>5-21-21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0B31" w:rsidRDefault="00240B31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1B41" w:rsidRPr="00200A93" w:rsidRDefault="002B46FE" w:rsidP="00200A9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B46FE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Лениногорск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шәһәре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берәмлеге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башкарма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комитеты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карарына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кушымта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00A93">
        <w:rPr>
          <w:rFonts w:ascii="Times New Roman" w:hAnsi="Times New Roman" w:cs="Times New Roman"/>
          <w:sz w:val="28"/>
          <w:szCs w:val="24"/>
        </w:rPr>
        <w:t>«__</w:t>
      </w:r>
      <w:proofErr w:type="gramStart"/>
      <w:r w:rsidR="00200A93">
        <w:rPr>
          <w:rFonts w:ascii="Times New Roman" w:hAnsi="Times New Roman" w:cs="Times New Roman"/>
          <w:sz w:val="28"/>
          <w:szCs w:val="24"/>
        </w:rPr>
        <w:t>_»_</w:t>
      </w:r>
      <w:proofErr w:type="gramEnd"/>
      <w:r w:rsidR="00200A93">
        <w:rPr>
          <w:rFonts w:ascii="Times New Roman" w:hAnsi="Times New Roman" w:cs="Times New Roman"/>
          <w:sz w:val="28"/>
          <w:szCs w:val="24"/>
        </w:rPr>
        <w:t>______</w:t>
      </w:r>
      <w:r>
        <w:rPr>
          <w:rFonts w:ascii="Times New Roman" w:hAnsi="Times New Roman" w:cs="Times New Roman"/>
          <w:sz w:val="28"/>
          <w:szCs w:val="24"/>
        </w:rPr>
        <w:t xml:space="preserve">____2021ел </w:t>
      </w:r>
      <w:r w:rsidR="00DD2D73" w:rsidRPr="00200A93">
        <w:rPr>
          <w:rFonts w:ascii="Times New Roman" w:hAnsi="Times New Roman" w:cs="Times New Roman"/>
          <w:sz w:val="28"/>
          <w:szCs w:val="24"/>
        </w:rPr>
        <w:t>№</w:t>
      </w:r>
      <w:r w:rsidR="00917984" w:rsidRPr="00200A93">
        <w:rPr>
          <w:rFonts w:ascii="Times New Roman" w:hAnsi="Times New Roman" w:cs="Times New Roman"/>
          <w:sz w:val="28"/>
          <w:szCs w:val="24"/>
        </w:rPr>
        <w:t>____</w:t>
      </w:r>
      <w:r w:rsidR="00501B41" w:rsidRPr="00200A9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200A93" w:rsidRDefault="002B46FE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Cs/>
          <w:sz w:val="28"/>
          <w:szCs w:val="24"/>
          <w:lang w:val="tt-RU"/>
        </w:rPr>
        <w:t>1.</w:t>
      </w:r>
      <w:r w:rsidRPr="002B46FE">
        <w:rPr>
          <w:rFonts w:ascii="Times New Roman" w:hAnsi="Times New Roman" w:cs="Times New Roman"/>
          <w:bCs/>
          <w:sz w:val="28"/>
          <w:szCs w:val="24"/>
        </w:rPr>
        <w:t xml:space="preserve">Лениногорск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муниципаль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районы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җирләреннән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файдалану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һәм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төзелеш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2B46FE">
        <w:rPr>
          <w:rFonts w:ascii="Times New Roman" w:hAnsi="Times New Roman" w:cs="Times New Roman"/>
          <w:bCs/>
          <w:sz w:val="28"/>
          <w:szCs w:val="24"/>
        </w:rPr>
        <w:t>буенча</w:t>
      </w:r>
      <w:proofErr w:type="spellEnd"/>
      <w:r w:rsidRPr="002B46FE">
        <w:rPr>
          <w:rFonts w:ascii="Times New Roman" w:hAnsi="Times New Roman" w:cs="Times New Roman"/>
          <w:bCs/>
          <w:sz w:val="28"/>
          <w:szCs w:val="24"/>
        </w:rPr>
        <w:t xml:space="preserve"> комиссия составы</w:t>
      </w:r>
    </w:p>
    <w:tbl>
      <w:tblPr>
        <w:tblStyle w:val="2-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240B31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200A93" w:rsidRDefault="002B46F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Михайлова Зульфия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Габделхәмә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товна</w:t>
                  </w:r>
                  <w:proofErr w:type="spellEnd"/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Куприянова Оксана Викторовна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00A93" w:rsidRDefault="002B46FE" w:rsidP="002B46FE">
                  <w:pPr>
                    <w:ind w:left="-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“Л      “Л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ениногорск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районы»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берәмлеге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комитеты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җитәкчесе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комиссия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рәисе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килештерү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буенча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2B46FE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АрхГрадСтройКонтроль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МБУ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башлыгы</w:t>
                  </w:r>
                  <w:proofErr w:type="spellEnd"/>
                  <w:r w:rsidR="00240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секретаре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</w:tabs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365C" w:rsidRPr="0050776B" w:rsidTr="00BE2FD7">
              <w:trPr>
                <w:trHeight w:val="80"/>
              </w:trPr>
              <w:tc>
                <w:tcPr>
                  <w:tcW w:w="269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Глухова Ольга Сергеевна</w:t>
                  </w: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Pr="00200A93" w:rsidRDefault="002B46FE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Солтанова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Резедә</w:t>
                  </w:r>
                  <w:proofErr w:type="spellEnd"/>
                </w:p>
                <w:p w:rsidR="00200A93" w:rsidRDefault="002B46FE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Әбәлмә</w:t>
                  </w:r>
                  <w:r w:rsidR="00200A93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гдановна</w:t>
                  </w:r>
                  <w:proofErr w:type="spellEnd"/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2B46FE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Хәйбрахманов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дар</w:t>
                  </w:r>
                  <w:proofErr w:type="spellEnd"/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Рафаилевич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7C5527" w:rsidP="0033217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6" w:history="1">
                    <w:proofErr w:type="spellStart"/>
                    <w:r w:rsidR="002B46FE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Хә</w:t>
                    </w:r>
                    <w:r w:rsidR="0033217A" w:rsidRPr="00200A93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йруллина</w:t>
                    </w:r>
                    <w:proofErr w:type="spellEnd"/>
                    <w:r w:rsidR="0033217A" w:rsidRPr="00200A93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 xml:space="preserve"> Ирина Владимировна</w:t>
                    </w:r>
                  </w:hyperlink>
                  <w:r w:rsidR="0033217A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7365C" w:rsidRPr="00200A93" w:rsidRDefault="0007365C" w:rsidP="00BE2FD7">
                  <w:pPr>
                    <w:tabs>
                      <w:tab w:val="left" w:pos="900"/>
                    </w:tabs>
                    <w:rPr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90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00A93" w:rsidRDefault="002B46FE" w:rsidP="00200A93">
                  <w:pPr>
                    <w:ind w:left="-698" w:firstLine="69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Комиссия </w:t>
                  </w:r>
                  <w:r>
                    <w:rPr>
                      <w:sz w:val="28"/>
                      <w:szCs w:val="28"/>
                      <w:lang w:val="tt-RU"/>
                    </w:rPr>
                    <w:t>әгъзалары</w:t>
                  </w:r>
                  <w:r w:rsidR="0007365C" w:rsidRPr="00200A93">
                    <w:rPr>
                      <w:sz w:val="28"/>
                      <w:szCs w:val="28"/>
                    </w:rPr>
                    <w:t>:</w:t>
                  </w:r>
                </w:p>
                <w:p w:rsidR="0007365C" w:rsidRPr="00200A93" w:rsidRDefault="0007365C" w:rsidP="00200A93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Pr="00200A93" w:rsidRDefault="002B46FE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«ЛМР»</w:t>
                  </w: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МБнең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архитектура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һәм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шәһәр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төзелеше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бүлегенең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баш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белгече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килешү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буенча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),</w:t>
                  </w:r>
                </w:p>
                <w:p w:rsidR="00200A93" w:rsidRPr="00200A93" w:rsidRDefault="002B46FE" w:rsidP="00200A93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өлкәт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һәм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җир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мөнәсәбәтләре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МКУ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палатасы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рәисе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46FE" w:rsidRDefault="002B46FE" w:rsidP="00240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2B46FE" w:rsidP="002B46FE">
                  <w:pPr>
                    <w:ind w:left="-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МР» </w:t>
                  </w: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«ЛМР» </w:t>
                  </w: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 Советы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Аппаратының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юридик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бүлеге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башлыгы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килешү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буенча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</w:t>
                  </w: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</w:tabs>
                    <w:ind w:left="-4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200A93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2B46FE" w:rsidP="002B46FE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Роспотребнадзорның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буенча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Әлмәт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Зәй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Лениногорск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районнарында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 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территориаль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идарәсе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башлыгы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урынбасары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килешү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буенча</w:t>
                  </w:r>
                  <w:proofErr w:type="spellEnd"/>
                  <w:r w:rsidRPr="002B46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Default="00240B31" w:rsidP="000C23AB">
      <w:pPr>
        <w:pStyle w:val="a3"/>
        <w:tabs>
          <w:tab w:val="left" w:pos="0"/>
          <w:tab w:val="left" w:pos="9214"/>
        </w:tabs>
        <w:spacing w:after="0" w:line="240" w:lineRule="auto"/>
        <w:ind w:left="915"/>
        <w:rPr>
          <w:rFonts w:ascii="Times New Roman" w:hAnsi="Times New Roman" w:cs="Times New Roman"/>
          <w:bCs/>
          <w:sz w:val="28"/>
          <w:szCs w:val="28"/>
        </w:rPr>
      </w:pPr>
      <w:r w:rsidRPr="00240B3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Лениногорск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районы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җир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биләмәләреннән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файдалану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төзелеш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буенча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комиссия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эшчәнлеге</w:t>
      </w:r>
      <w:proofErr w:type="spellEnd"/>
      <w:r w:rsidR="000C23AB" w:rsidRPr="000C23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23AB" w:rsidRPr="000C23AB">
        <w:rPr>
          <w:rFonts w:ascii="Times New Roman" w:hAnsi="Times New Roman" w:cs="Times New Roman"/>
          <w:bCs/>
          <w:sz w:val="28"/>
          <w:szCs w:val="28"/>
        </w:rPr>
        <w:t>тәртибе</w:t>
      </w:r>
      <w:proofErr w:type="spellEnd"/>
    </w:p>
    <w:p w:rsidR="000C23AB" w:rsidRPr="00240B31" w:rsidRDefault="000C23AB" w:rsidP="000C23AB">
      <w:pPr>
        <w:pStyle w:val="a3"/>
        <w:tabs>
          <w:tab w:val="left" w:pos="0"/>
          <w:tab w:val="left" w:pos="9214"/>
        </w:tabs>
        <w:spacing w:after="0" w:line="240" w:lineRule="auto"/>
        <w:ind w:left="915"/>
        <w:rPr>
          <w:rFonts w:ascii="Times New Roman" w:eastAsia="Times New Roman" w:hAnsi="Times New Roman" w:cs="Times New Roman"/>
          <w:sz w:val="28"/>
          <w:szCs w:val="28"/>
        </w:rPr>
      </w:pP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1.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утырышлар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формасында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башкара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Утырышлар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, кворум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утырышын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бара, ә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булмаганда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3.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карарлары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арасыннан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гади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күпчелек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рәис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сәркатип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имзаланган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беркетмә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рәсмиләштерелә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архивы бар,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комиссиянең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беркетмәләре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материаллары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тупланган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6.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әгъзаларының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саныннан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кимендә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икенчесе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катнашса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санала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lastRenderedPageBreak/>
        <w:t xml:space="preserve">7.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23AB">
        <w:rPr>
          <w:rFonts w:ascii="Times New Roman" w:hAnsi="Times New Roman" w:cs="Times New Roman"/>
          <w:sz w:val="28"/>
          <w:szCs w:val="28"/>
        </w:rPr>
        <w:t>районы»Башкарма</w:t>
      </w:r>
      <w:proofErr w:type="spellEnd"/>
      <w:proofErr w:type="gram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архитектура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башлыгына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йөкләнә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0C23AB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тәкъдимнәре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исеменә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рәисе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датасыннан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7365C" w:rsidRDefault="000C23AB" w:rsidP="000C23AB">
      <w:p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A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Тәкъдимнәрне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беркетмәдә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чагылдырыла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итү</w:t>
      </w:r>
      <w:r>
        <w:rPr>
          <w:rFonts w:ascii="Times New Roman" w:hAnsi="Times New Roman" w:cs="Times New Roman"/>
          <w:sz w:val="28"/>
          <w:szCs w:val="28"/>
        </w:rPr>
        <w:t>челәргә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бәяләмәсеннән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земтә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3AB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0C23AB">
        <w:rPr>
          <w:rFonts w:ascii="Times New Roman" w:hAnsi="Times New Roman" w:cs="Times New Roman"/>
          <w:sz w:val="28"/>
          <w:szCs w:val="28"/>
        </w:rPr>
        <w:t>.</w:t>
      </w:r>
    </w:p>
    <w:p w:rsidR="000C23AB" w:rsidRPr="00240B31" w:rsidRDefault="000C23AB" w:rsidP="000C23AB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3CC" w:rsidRPr="001763CC" w:rsidRDefault="001763CC" w:rsidP="001763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63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эшләрне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</w:p>
    <w:p w:rsidR="0007365C" w:rsidRPr="00240B31" w:rsidRDefault="001763CC" w:rsidP="001763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63C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җирләреннән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кагыйдәләренә</w:t>
      </w:r>
      <w:proofErr w:type="spellEnd"/>
      <w:r w:rsidRPr="0017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3C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</w:p>
    <w:p w:rsidR="0007365C" w:rsidRPr="00240B31" w:rsidRDefault="0007365C" w:rsidP="0007365C">
      <w:pPr>
        <w:pStyle w:val="a4"/>
        <w:jc w:val="center"/>
        <w:rPr>
          <w:rFonts w:ascii="Times New Roman" w:hAnsi="Times New Roman" w:cs="Times New Roman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594"/>
        <w:gridCol w:w="2384"/>
        <w:gridCol w:w="4536"/>
        <w:gridCol w:w="2835"/>
      </w:tblGrid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536" w:type="dxa"/>
          </w:tcPr>
          <w:p w:rsidR="0007365C" w:rsidRPr="00240B31" w:rsidRDefault="001763C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Эшчәнлек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тәртибе</w:t>
            </w:r>
            <w:proofErr w:type="spellEnd"/>
          </w:p>
        </w:tc>
        <w:tc>
          <w:tcPr>
            <w:tcW w:w="2835" w:type="dxa"/>
          </w:tcPr>
          <w:p w:rsidR="0007365C" w:rsidRPr="001763CC" w:rsidRDefault="001763C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Искәрмә </w:t>
            </w:r>
          </w:p>
        </w:tc>
      </w:tr>
      <w:tr w:rsidR="0007365C" w:rsidRPr="001763CC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РФ,ст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33 п. 2,3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ПЗЗ ст. 30 п. 3 </w:t>
            </w:r>
          </w:p>
        </w:tc>
        <w:tc>
          <w:tcPr>
            <w:tcW w:w="4536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1. Физик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юридик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затлардан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тәртиптә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ОМС</w:t>
            </w:r>
          </w:p>
          <w:p w:rsidR="0007365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ПЗЗның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генплан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га, СТП таләпләренә туры килмәве</w:t>
            </w:r>
          </w:p>
        </w:tc>
        <w:tc>
          <w:tcPr>
            <w:tcW w:w="2835" w:type="dxa"/>
          </w:tcPr>
          <w:p w:rsidR="0007365C" w:rsidRPr="001763CC" w:rsidRDefault="001763C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Тәкъдимнәр ПЗЗ буенча к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омиссия рәисе исеменә тапшырыла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4,.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5 ст.30 ПЗЗ</w:t>
            </w:r>
          </w:p>
        </w:tc>
        <w:tc>
          <w:tcPr>
            <w:tcW w:w="4536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утырышында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булган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йә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сәбәпләрен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күрсәтеп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кире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кагу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Бәяләмәне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дәвам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Мөрәҗәгать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көненнән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бәяләмәсе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РИК,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алга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таба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мөрәҗәгать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итүчегә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җибәрелә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07365C" w:rsidRPr="00240B31" w:rsidRDefault="0007365C" w:rsidP="0024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Җирлек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башлыгына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бәяләмәсен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юллау</w:t>
            </w:r>
            <w:proofErr w:type="spellEnd"/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536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1.Җирле администрация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башлыгының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асты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байлыкларыннан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кодексына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күчермәсе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гариза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бирүчегә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җибәрелә</w:t>
            </w:r>
            <w:proofErr w:type="spellEnd"/>
          </w:p>
        </w:tc>
        <w:tc>
          <w:tcPr>
            <w:tcW w:w="2835" w:type="dxa"/>
          </w:tcPr>
          <w:p w:rsidR="0007365C" w:rsidRPr="001763CC" w:rsidRDefault="001763C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көн эчендә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п.7ст.30 ПЗЗ</w:t>
            </w:r>
          </w:p>
        </w:tc>
        <w:tc>
          <w:tcPr>
            <w:tcW w:w="4536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тәртиптә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җирдән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кагыйдәләренә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бастырып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чыгару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хәбәрдә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ШрК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8ст.31 п.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каралган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белешмәләр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</w:p>
        </w:tc>
        <w:tc>
          <w:tcPr>
            <w:tcW w:w="2835" w:type="dxa"/>
          </w:tcPr>
          <w:p w:rsidR="001763CC" w:rsidRPr="001763CC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ЛМР сайты</w:t>
            </w:r>
          </w:p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ителгәннән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эчендә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инициаторы проект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аны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комиссиягә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тапшыра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гариза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бирүченең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Гр.К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п.8 ст.30 ПЗЗ</w:t>
            </w: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комиссия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тәкъдим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иткән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тикшерә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арар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берәмлек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башлыгына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җибәрә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1763CC" w:rsidTr="00240B31">
        <w:trPr>
          <w:trHeight w:val="125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1763CC" w:rsidRDefault="0007365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турында нигезләмә</w:t>
            </w:r>
          </w:p>
        </w:tc>
        <w:tc>
          <w:tcPr>
            <w:tcW w:w="4536" w:type="dxa"/>
          </w:tcPr>
          <w:p w:rsidR="0007365C" w:rsidRPr="001763CC" w:rsidRDefault="001763C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берәмлек башлыгы мондый проект буенча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ачык тыңлаулар үткәрү турында к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арар кабул итә.</w:t>
            </w:r>
          </w:p>
        </w:tc>
        <w:tc>
          <w:tcPr>
            <w:tcW w:w="2835" w:type="dxa"/>
          </w:tcPr>
          <w:p w:rsidR="0007365C" w:rsidRPr="001763CC" w:rsidRDefault="001763C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</w:t>
            </w:r>
            <w:r w:rsidRP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 үзгәрешләр кертү проектын алган көннән алып 10 көн эчендә. ПС башланырга 12 көн кала</w:t>
            </w:r>
          </w:p>
        </w:tc>
      </w:tr>
      <w:tr w:rsidR="0007365C" w:rsidRPr="00240B31" w:rsidTr="00240B31">
        <w:trPr>
          <w:trHeight w:val="125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4" w:type="dxa"/>
          </w:tcPr>
          <w:p w:rsidR="0007365C" w:rsidRPr="00240B31" w:rsidRDefault="001763CC" w:rsidP="00176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ЛМРда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43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нче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уздыру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турындагы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нигезләмәнең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нче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пункты </w:t>
            </w: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5B5B5B"/>
                <w:shd w:val="clear" w:color="auto" w:fill="F7F8F9"/>
              </w:rPr>
              <w:t>Карар</w:t>
            </w:r>
            <w:proofErr w:type="spellEnd"/>
            <w:r>
              <w:rPr>
                <w:rFonts w:ascii="Arial" w:hAnsi="Arial" w:cs="Arial"/>
                <w:color w:val="5B5B5B"/>
                <w:shd w:val="clear" w:color="auto" w:fill="F7F8F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B5B5B"/>
                <w:shd w:val="clear" w:color="auto" w:fill="F7F8F9"/>
              </w:rPr>
              <w:t>бастыру</w:t>
            </w:r>
            <w:proofErr w:type="spellEnd"/>
          </w:p>
        </w:tc>
        <w:tc>
          <w:tcPr>
            <w:tcW w:w="2835" w:type="dxa"/>
          </w:tcPr>
          <w:p w:rsidR="0007365C" w:rsidRPr="001763CC" w:rsidRDefault="0007365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  <w:r w:rsidR="00176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сайты</w:t>
            </w:r>
          </w:p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Мәгълүмати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стендлар</w:t>
            </w:r>
            <w:proofErr w:type="spellEnd"/>
            <w:r w:rsidR="0007365C"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365C" w:rsidRPr="00240B31" w:rsidTr="00240B31">
        <w:trPr>
          <w:trHeight w:val="2404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536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конкрет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регламентына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өлешендә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әзерләнгән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очракта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территориаль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чикләрендә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уздырыла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аның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төзелеше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регламенты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1763C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тыңлауларын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срогы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басылып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чыккан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артык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түгел</w:t>
            </w:r>
            <w:proofErr w:type="spellEnd"/>
            <w:r w:rsidRPr="00176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65C" w:rsidRPr="00240B31" w:rsidTr="00240B31">
        <w:trPr>
          <w:trHeight w:val="409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ЛМРда</w:t>
            </w:r>
            <w:proofErr w:type="spellEnd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уздыру</w:t>
            </w:r>
            <w:proofErr w:type="spellEnd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527" w:rsidRPr="007C5527">
              <w:rPr>
                <w:rFonts w:ascii="Times New Roman" w:hAnsi="Times New Roman" w:cs="Times New Roman"/>
                <w:sz w:val="28"/>
                <w:szCs w:val="28"/>
              </w:rPr>
              <w:t>нигезләмә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7C5527" w:rsidRPr="007C5527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шул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исәптән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гавами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катнашучыларның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җыелышлары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527" w:rsidRPr="007C5527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Тәкъдимнәрне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кабул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карау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65C" w:rsidRPr="00240B31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Беркетмә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бәяләмә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5527" w:rsidRPr="007C5527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365C" w:rsidRPr="00240B31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тыңлауларны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вакыты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да ким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түгел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айдан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артмаска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тиеш</w:t>
            </w:r>
            <w:proofErr w:type="spellEnd"/>
          </w:p>
        </w:tc>
      </w:tr>
      <w:tr w:rsidR="0007365C" w:rsidRPr="00240B31" w:rsidTr="00240B31">
        <w:trPr>
          <w:trHeight w:val="708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4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ЛМРДА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үткәрү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нигезләмә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365C" w:rsidRPr="00240B3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End"/>
            <w:r w:rsidR="0007365C" w:rsidRPr="00240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нәтиҗәләрен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бастырып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чыгару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бәяләмәләр</w:t>
            </w:r>
            <w:proofErr w:type="spellEnd"/>
          </w:p>
        </w:tc>
        <w:tc>
          <w:tcPr>
            <w:tcW w:w="2835" w:type="dxa"/>
          </w:tcPr>
          <w:p w:rsidR="0007365C" w:rsidRPr="007C5527" w:rsidRDefault="0007365C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  <w:r w:rsidR="007C55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сайты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rPr>
          <w:trHeight w:val="168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нәтиҗәләре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искәрмәләре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проектка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240B31" w:rsidTr="00240B31">
        <w:trPr>
          <w:trHeight w:val="1249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биләмәләреннән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файдалану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төзелеш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кагыйдәләренә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кертү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проекты (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шул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исәптән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калдыклар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нәтиҗәләрен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исәпкә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алып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  <w:proofErr w:type="gram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тыңлаулар</w:t>
            </w:r>
            <w:proofErr w:type="spellEnd"/>
            <w:proofErr w:type="gram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беркетмәсе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ачык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тыңлаулар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нәтиҗәләре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турында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бәяләмә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белән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Башкарма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</w:t>
            </w:r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итәкчесенә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җибәрелә</w:t>
            </w:r>
            <w:proofErr w:type="spellEnd"/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п.15 ст. 30 ПЗЗ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Башкарма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җитәкчесе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Лениногорск районы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Советына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җибәрү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яки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ПЗЗГА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кертүне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кире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аны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кабат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тапшыру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датасын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күрсәтеп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эшләп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бетерүгә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җибәрү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арар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кабул </w:t>
            </w:r>
            <w:proofErr w:type="spellStart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итә</w:t>
            </w:r>
            <w:proofErr w:type="spellEnd"/>
            <w:r w:rsidRPr="007C5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5527" w:rsidRPr="007C5527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алынган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эчендә</w:t>
            </w:r>
            <w:proofErr w:type="spellEnd"/>
          </w:p>
          <w:p w:rsidR="0007365C" w:rsidRPr="00240B31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Советка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карауга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бирелә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исемлеге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30 ст.16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пунктында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билгеләнгән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п.17 ст.30 ПЗЗ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районы Советы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Җирдән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файдалану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төзелеш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кагыйдәләренә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кертелә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торган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үзгәрешләрне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раслый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проекты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комитет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җитәкчесенә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эшләп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бетерүгә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җибәрелергә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мөмкин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7C5527" w:rsidP="0024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Шәһәр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төзелешен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зоналаштыру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картасын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яисә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ПЗЗ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текстын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яңарту</w:t>
            </w:r>
            <w:proofErr w:type="spellEnd"/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дагы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сайтта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бастырылырга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тиеш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рәсми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басылып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чыккан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көненнән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үз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көченә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керә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7365C" w:rsidRPr="00240B31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Имзалаганнан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калмыйча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Яңартылган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ИСта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урнаштыру</w:t>
            </w:r>
            <w:proofErr w:type="spellEnd"/>
          </w:p>
        </w:tc>
        <w:tc>
          <w:tcPr>
            <w:tcW w:w="2835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Раслаганнан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sz w:val="28"/>
                <w:szCs w:val="28"/>
              </w:rPr>
              <w:t>калмыйча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7C5527" w:rsidP="007C5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берәмлек аэродром территориясендә урнашкан очракта хәбәр җибәрү </w:t>
            </w:r>
          </w:p>
        </w:tc>
        <w:tc>
          <w:tcPr>
            <w:tcW w:w="2835" w:type="dxa"/>
          </w:tcPr>
          <w:p w:rsidR="0007365C" w:rsidRPr="00240B31" w:rsidRDefault="007C5527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ФГИС ТП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урнаштыру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датасыннан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көннән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дә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соңга</w:t>
            </w:r>
            <w:proofErr w:type="spellEnd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C55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калмыйча</w:t>
            </w:r>
            <w:proofErr w:type="spellEnd"/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4" w:type="dxa"/>
          </w:tcPr>
          <w:p w:rsidR="0007365C" w:rsidRPr="007C5527" w:rsidRDefault="007C5527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Җир </w:t>
            </w:r>
            <w:r w:rsidR="0007365C" w:rsidRPr="00240B31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4536" w:type="dxa"/>
          </w:tcPr>
          <w:p w:rsidR="0007365C" w:rsidRPr="007C5527" w:rsidRDefault="007C5527" w:rsidP="00BE2FD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ГКНга</w:t>
            </w:r>
            <w:r w:rsidRPr="007C55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мәгълүмат кертү (рөхсәт ителгән куллану төрен үзгәртү турында күрсәтмә әзерләү )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484FA9" w:rsidRPr="00240B31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4FA9" w:rsidRPr="00240B31" w:rsidSect="00240B31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613250DA"/>
    <w:lvl w:ilvl="0" w:tplc="22B4DBDA">
      <w:start w:val="3"/>
      <w:numFmt w:val="decimal"/>
      <w:lvlText w:val="%1."/>
      <w:lvlJc w:val="left"/>
      <w:pPr>
        <w:ind w:left="915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87B6F1F6"/>
    <w:lvl w:ilvl="0" w:tplc="100E552A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DCA12C6"/>
    <w:multiLevelType w:val="hybridMultilevel"/>
    <w:tmpl w:val="81A88A40"/>
    <w:lvl w:ilvl="0" w:tplc="42E8434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23AB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63CC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0A93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0B31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B46FE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27C79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14A7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5527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2B41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64FC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A54B0"/>
    <w:rsid w:val="00DB32CE"/>
    <w:rsid w:val="00DB4374"/>
    <w:rsid w:val="00DB57B3"/>
    <w:rsid w:val="00DC0C01"/>
    <w:rsid w:val="00DC19F7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4EA5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BEF3B-022A-4674-9DDF-2D2A21E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00A9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6.rospotrebnadzor.ru/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544B-7F4D-481F-A675-C615DD3F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2021-04-22T07:50:00Z</cp:lastPrinted>
  <dcterms:created xsi:type="dcterms:W3CDTF">2021-04-29T12:13:00Z</dcterms:created>
  <dcterms:modified xsi:type="dcterms:W3CDTF">2021-06-18T08:40:00Z</dcterms:modified>
</cp:coreProperties>
</file>