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4E" w:rsidRPr="00E921DD" w:rsidRDefault="00B83D4E" w:rsidP="00866F58">
      <w:pPr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E921DD">
        <w:rPr>
          <w:rFonts w:eastAsia="Times New Roman"/>
          <w:szCs w:val="28"/>
        </w:rPr>
        <w:t xml:space="preserve">К А </w:t>
      </w:r>
      <w:proofErr w:type="gramStart"/>
      <w:r w:rsidRPr="00E921DD">
        <w:rPr>
          <w:rFonts w:eastAsia="Times New Roman"/>
          <w:szCs w:val="28"/>
        </w:rPr>
        <w:t>Р</w:t>
      </w:r>
      <w:proofErr w:type="gramEnd"/>
      <w:r w:rsidRPr="00E921DD">
        <w:rPr>
          <w:rFonts w:eastAsia="Times New Roman"/>
          <w:szCs w:val="28"/>
        </w:rPr>
        <w:t xml:space="preserve"> А Р</w:t>
      </w:r>
    </w:p>
    <w:p w:rsidR="00B83D4E" w:rsidRDefault="00B83D4E" w:rsidP="00866F58">
      <w:pPr>
        <w:ind w:right="-1"/>
        <w:jc w:val="center"/>
        <w:rPr>
          <w:rFonts w:eastAsia="Times New Roman"/>
          <w:szCs w:val="28"/>
        </w:rPr>
      </w:pPr>
    </w:p>
    <w:p w:rsidR="00B83D4E" w:rsidRPr="00E921DD" w:rsidRDefault="00B83D4E" w:rsidP="00866F58">
      <w:pPr>
        <w:ind w:right="-1"/>
        <w:jc w:val="center"/>
        <w:rPr>
          <w:rFonts w:eastAsia="Times New Roman"/>
          <w:szCs w:val="28"/>
        </w:rPr>
      </w:pPr>
    </w:p>
    <w:p w:rsidR="00B83D4E" w:rsidRPr="00E921DD" w:rsidRDefault="00B83D4E" w:rsidP="00866F58">
      <w:pPr>
        <w:ind w:right="-1"/>
        <w:jc w:val="center"/>
        <w:rPr>
          <w:rFonts w:eastAsia="Times New Roman"/>
          <w:szCs w:val="28"/>
        </w:rPr>
      </w:pPr>
      <w:proofErr w:type="gramStart"/>
      <w:r w:rsidRPr="00E921DD">
        <w:rPr>
          <w:rFonts w:eastAsia="Times New Roman"/>
          <w:szCs w:val="28"/>
        </w:rPr>
        <w:t>П</w:t>
      </w:r>
      <w:proofErr w:type="gramEnd"/>
      <w:r w:rsidRPr="00E921DD">
        <w:rPr>
          <w:rFonts w:eastAsia="Times New Roman"/>
          <w:szCs w:val="28"/>
        </w:rPr>
        <w:t xml:space="preserve"> О С Т А Н О В Л Е Н И Е          №</w:t>
      </w:r>
      <w:r>
        <w:rPr>
          <w:rFonts w:eastAsia="Times New Roman"/>
          <w:szCs w:val="28"/>
        </w:rPr>
        <w:t>1525</w:t>
      </w:r>
    </w:p>
    <w:p w:rsidR="00B83D4E" w:rsidRDefault="00B83D4E" w:rsidP="00866F58">
      <w:pPr>
        <w:ind w:right="-1"/>
        <w:jc w:val="center"/>
        <w:rPr>
          <w:rFonts w:eastAsia="Times New Roman"/>
          <w:szCs w:val="28"/>
        </w:rPr>
      </w:pPr>
    </w:p>
    <w:p w:rsidR="00B83D4E" w:rsidRPr="00E921DD" w:rsidRDefault="00B83D4E" w:rsidP="00866F58">
      <w:pPr>
        <w:ind w:right="-1"/>
        <w:jc w:val="center"/>
        <w:rPr>
          <w:rFonts w:eastAsia="Times New Roman"/>
          <w:szCs w:val="28"/>
        </w:rPr>
      </w:pPr>
    </w:p>
    <w:p w:rsidR="00B83D4E" w:rsidRPr="008A1D69" w:rsidRDefault="00B83D4E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30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декабря</w:t>
      </w:r>
      <w:r>
        <w:rPr>
          <w:szCs w:val="28"/>
        </w:rPr>
        <w:t xml:space="preserve"> 2020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B83D4E" w:rsidRDefault="00B83D4E" w:rsidP="00D067D0">
      <w:pPr>
        <w:jc w:val="center"/>
        <w:rPr>
          <w:b/>
          <w:szCs w:val="28"/>
        </w:rPr>
      </w:pPr>
    </w:p>
    <w:p w:rsidR="001A1A10" w:rsidRDefault="001A1A10" w:rsidP="00C46606">
      <w:pPr>
        <w:ind w:right="5102" w:firstLine="0"/>
        <w:jc w:val="both"/>
      </w:pPr>
    </w:p>
    <w:p w:rsidR="001A1A10" w:rsidRDefault="001A1A10" w:rsidP="00C46606">
      <w:pPr>
        <w:ind w:right="5102" w:firstLine="0"/>
        <w:jc w:val="both"/>
      </w:pPr>
    </w:p>
    <w:p w:rsidR="001A1A10" w:rsidRPr="00FF5AC8" w:rsidRDefault="001A1A10" w:rsidP="00C46606">
      <w:pPr>
        <w:ind w:right="5102" w:firstLine="0"/>
        <w:jc w:val="both"/>
      </w:pPr>
    </w:p>
    <w:p w:rsidR="002F671F" w:rsidRPr="00FF5AC8" w:rsidRDefault="002F671F" w:rsidP="00C46606">
      <w:pPr>
        <w:ind w:right="5102" w:firstLine="0"/>
        <w:jc w:val="both"/>
      </w:pPr>
    </w:p>
    <w:p w:rsidR="00C46606" w:rsidRDefault="00C46606" w:rsidP="00482F5B">
      <w:pPr>
        <w:ind w:right="5669" w:firstLine="0"/>
        <w:jc w:val="both"/>
      </w:pPr>
      <w:r>
        <w:t xml:space="preserve">Об утверждении </w:t>
      </w:r>
      <w:r w:rsidR="00482F5B">
        <w:t>под</w:t>
      </w:r>
      <w:r>
        <w:t xml:space="preserve">программы </w:t>
      </w:r>
      <w:r w:rsidR="00482F5B" w:rsidRPr="00482F5B">
        <w:rPr>
          <w:rFonts w:cs="Times New Roman"/>
          <w:szCs w:val="28"/>
        </w:rPr>
        <w:t xml:space="preserve">«Профилактика безнадзорности и правонарушений несовершеннолетних </w:t>
      </w:r>
      <w:proofErr w:type="gramStart"/>
      <w:r w:rsidR="00482F5B" w:rsidRPr="00482F5B">
        <w:rPr>
          <w:rFonts w:cs="Times New Roman"/>
          <w:szCs w:val="28"/>
        </w:rPr>
        <w:t>в</w:t>
      </w:r>
      <w:proofErr w:type="gramEnd"/>
      <w:r w:rsidR="00482F5B" w:rsidRPr="00482F5B">
        <w:rPr>
          <w:rFonts w:cs="Times New Roman"/>
          <w:szCs w:val="28"/>
        </w:rPr>
        <w:t xml:space="preserve"> </w:t>
      </w:r>
      <w:proofErr w:type="gramStart"/>
      <w:r w:rsidR="00482F5B" w:rsidRPr="00482F5B">
        <w:rPr>
          <w:rFonts w:cs="Times New Roman"/>
          <w:szCs w:val="28"/>
        </w:rPr>
        <w:t>Лениногорском</w:t>
      </w:r>
      <w:proofErr w:type="gramEnd"/>
      <w:r w:rsidR="00482F5B" w:rsidRPr="00482F5B">
        <w:rPr>
          <w:rFonts w:cs="Times New Roman"/>
          <w:szCs w:val="28"/>
        </w:rPr>
        <w:t xml:space="preserve"> муниципальном районе Республики Татарстан»</w:t>
      </w:r>
      <w:r w:rsidR="001A1A10">
        <w:rPr>
          <w:rFonts w:cs="Times New Roman"/>
          <w:szCs w:val="28"/>
        </w:rPr>
        <w:t xml:space="preserve"> </w:t>
      </w:r>
      <w:r w:rsidR="002F671F">
        <w:rPr>
          <w:rFonts w:cs="Times New Roman"/>
          <w:szCs w:val="28"/>
        </w:rPr>
        <w:t>на 20</w:t>
      </w:r>
      <w:r w:rsidR="00F473EB">
        <w:rPr>
          <w:rFonts w:cs="Times New Roman"/>
          <w:szCs w:val="28"/>
        </w:rPr>
        <w:t>21</w:t>
      </w:r>
      <w:r w:rsidR="002F671F">
        <w:rPr>
          <w:rFonts w:cs="Times New Roman"/>
          <w:szCs w:val="28"/>
        </w:rPr>
        <w:t>-202</w:t>
      </w:r>
      <w:r w:rsidR="00F473EB">
        <w:rPr>
          <w:rFonts w:cs="Times New Roman"/>
          <w:szCs w:val="28"/>
        </w:rPr>
        <w:t>4</w:t>
      </w:r>
      <w:r w:rsidR="002F671F">
        <w:rPr>
          <w:rFonts w:cs="Times New Roman"/>
          <w:szCs w:val="28"/>
        </w:rPr>
        <w:t xml:space="preserve"> годы</w:t>
      </w:r>
    </w:p>
    <w:p w:rsidR="00C46606" w:rsidRDefault="00C46606" w:rsidP="00297298">
      <w:pPr>
        <w:jc w:val="both"/>
      </w:pPr>
    </w:p>
    <w:p w:rsidR="00CF5DFF" w:rsidRDefault="00C20D1C" w:rsidP="00297298">
      <w:pPr>
        <w:jc w:val="both"/>
        <w:rPr>
          <w:rFonts w:cs="Times New Roman"/>
          <w:szCs w:val="28"/>
        </w:rPr>
      </w:pPr>
      <w:r>
        <w:t>На основании</w:t>
      </w:r>
      <w:r w:rsidR="00482F5B">
        <w:t xml:space="preserve"> </w:t>
      </w:r>
      <w:r>
        <w:t xml:space="preserve"> </w:t>
      </w:r>
      <w:r w:rsidR="007131E0">
        <w:t>рекомендаций Правительственной комиссии Республики Татарстан по профилактике правонарушений от 03.08.2020</w:t>
      </w:r>
      <w:r w:rsidR="001A1A10">
        <w:t xml:space="preserve">№30/2485 </w:t>
      </w:r>
      <w:r w:rsidR="007131E0">
        <w:t xml:space="preserve">о выделении в самостоятельную подпрограмму </w:t>
      </w:r>
      <w:r w:rsidR="007131E0" w:rsidRPr="007131E0">
        <w:t xml:space="preserve">«Профилактика безнадзорности и правонарушений несовершеннолетних </w:t>
      </w:r>
      <w:proofErr w:type="gramStart"/>
      <w:r w:rsidR="007131E0" w:rsidRPr="007131E0">
        <w:t>в</w:t>
      </w:r>
      <w:proofErr w:type="gramEnd"/>
      <w:r w:rsidR="007131E0" w:rsidRPr="007131E0">
        <w:t xml:space="preserve"> </w:t>
      </w:r>
      <w:proofErr w:type="gramStart"/>
      <w:r w:rsidR="007131E0" w:rsidRPr="007131E0">
        <w:t>Лениногорском</w:t>
      </w:r>
      <w:proofErr w:type="gramEnd"/>
      <w:r w:rsidR="007131E0" w:rsidRPr="007131E0">
        <w:t xml:space="preserve"> муниципальном районе Республики Татарстан»</w:t>
      </w:r>
      <w:r w:rsidR="007131E0">
        <w:t>,</w:t>
      </w:r>
      <w:r w:rsidR="007131E0" w:rsidRPr="007131E0">
        <w:t xml:space="preserve"> </w:t>
      </w:r>
      <w:r>
        <w:t>руководствуясь Уставом</w:t>
      </w:r>
      <w:r w:rsidR="00297298">
        <w:t xml:space="preserve"> муниципального образования «Лениногорский муниципальный район» Республики Татарстан, </w:t>
      </w:r>
      <w:r w:rsidR="00297298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297298" w:rsidRDefault="00297298" w:rsidP="00482F5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3E6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Утвердить прилагаемую </w:t>
      </w:r>
      <w:r w:rsidR="00482F5B" w:rsidRPr="00482F5B">
        <w:rPr>
          <w:rFonts w:cs="Times New Roman"/>
          <w:szCs w:val="28"/>
        </w:rPr>
        <w:t>подпрограмм</w:t>
      </w:r>
      <w:r w:rsidR="00482F5B">
        <w:rPr>
          <w:rFonts w:cs="Times New Roman"/>
          <w:szCs w:val="28"/>
        </w:rPr>
        <w:t>у</w:t>
      </w:r>
      <w:r w:rsidR="00482F5B" w:rsidRPr="00482F5B">
        <w:rPr>
          <w:rFonts w:cs="Times New Roman"/>
          <w:szCs w:val="28"/>
        </w:rPr>
        <w:t xml:space="preserve"> «Профилактика безнадзорности и правонарушений несовершеннолетних в Лениногорском муниципальном районе Республики Татарстан» на 2021-2024 годы</w:t>
      </w:r>
      <w:r>
        <w:rPr>
          <w:rFonts w:cs="Times New Roman"/>
          <w:szCs w:val="28"/>
        </w:rPr>
        <w:t>.</w:t>
      </w:r>
    </w:p>
    <w:p w:rsidR="00297298" w:rsidRDefault="00297298" w:rsidP="0029729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5A24E2"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постановления </w:t>
      </w:r>
      <w:r w:rsidR="005A24E2">
        <w:rPr>
          <w:rFonts w:cs="Times New Roman"/>
          <w:szCs w:val="28"/>
        </w:rPr>
        <w:t xml:space="preserve">возложить на председателя комиссии по делам несовершеннолетних и защите их прав </w:t>
      </w:r>
      <w:proofErr w:type="spellStart"/>
      <w:r w:rsidR="005A24E2">
        <w:rPr>
          <w:rFonts w:cs="Times New Roman"/>
          <w:szCs w:val="28"/>
        </w:rPr>
        <w:t>В.В.Друка</w:t>
      </w:r>
      <w:proofErr w:type="spellEnd"/>
      <w:r>
        <w:rPr>
          <w:rFonts w:cs="Times New Roman"/>
          <w:szCs w:val="28"/>
        </w:rPr>
        <w:t>.</w:t>
      </w:r>
    </w:p>
    <w:p w:rsidR="00297298" w:rsidRDefault="000C7A54" w:rsidP="00AE3E6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A24E2">
        <w:rPr>
          <w:rFonts w:cs="Times New Roman"/>
          <w:szCs w:val="28"/>
        </w:rPr>
        <w:t>.</w:t>
      </w:r>
      <w:r w:rsidR="00AE3E69">
        <w:rPr>
          <w:rFonts w:cs="Times New Roman"/>
          <w:szCs w:val="28"/>
        </w:rPr>
        <w:t xml:space="preserve">Настоящее постановление </w:t>
      </w:r>
      <w:r w:rsidR="00AE3E69" w:rsidRPr="00AE3E69">
        <w:rPr>
          <w:rFonts w:cs="Times New Roman"/>
          <w:szCs w:val="28"/>
        </w:rPr>
        <w:t>разместить на официальном сайте Лениногорского муниципального района.</w:t>
      </w:r>
    </w:p>
    <w:p w:rsidR="005A24E2" w:rsidRDefault="005A24E2" w:rsidP="00AE3E69">
      <w:pPr>
        <w:jc w:val="both"/>
        <w:rPr>
          <w:rFonts w:cs="Times New Roman"/>
          <w:szCs w:val="28"/>
        </w:rPr>
      </w:pPr>
    </w:p>
    <w:p w:rsidR="005A24E2" w:rsidRDefault="005A24E2" w:rsidP="00AE3E69">
      <w:pPr>
        <w:jc w:val="both"/>
        <w:rPr>
          <w:rFonts w:cs="Times New Roman"/>
          <w:szCs w:val="28"/>
        </w:rPr>
      </w:pPr>
    </w:p>
    <w:p w:rsidR="00FA6CC6" w:rsidRDefault="00FA6CC6" w:rsidP="00297298">
      <w:pPr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A6CC6" w:rsidRPr="00FA6CC6" w:rsidTr="002672FD">
        <w:tc>
          <w:tcPr>
            <w:tcW w:w="3284" w:type="dxa"/>
          </w:tcPr>
          <w:p w:rsidR="00FA6CC6" w:rsidRPr="00FA6CC6" w:rsidRDefault="00FA6CC6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CC6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FA6CC6" w:rsidRPr="00FA6CC6" w:rsidRDefault="00FA6CC6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A6CC6" w:rsidRPr="00FA6CC6" w:rsidRDefault="00F473EB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З.Г. Михайлова</w:t>
            </w:r>
          </w:p>
        </w:tc>
      </w:tr>
    </w:tbl>
    <w:p w:rsidR="005F332A" w:rsidRDefault="005F332A" w:rsidP="002F671F">
      <w:pPr>
        <w:ind w:firstLine="0"/>
        <w:rPr>
          <w:sz w:val="24"/>
          <w:szCs w:val="24"/>
        </w:rPr>
      </w:pPr>
    </w:p>
    <w:p w:rsidR="00482F5B" w:rsidRDefault="00482F5B" w:rsidP="002F671F">
      <w:pPr>
        <w:ind w:firstLine="0"/>
        <w:rPr>
          <w:sz w:val="24"/>
          <w:szCs w:val="24"/>
        </w:rPr>
      </w:pPr>
      <w:r>
        <w:rPr>
          <w:sz w:val="24"/>
          <w:szCs w:val="24"/>
        </w:rPr>
        <w:t>Г.З.Кашапова</w:t>
      </w:r>
    </w:p>
    <w:p w:rsidR="00FA6CC6" w:rsidRDefault="00482F5B" w:rsidP="002F671F">
      <w:pPr>
        <w:ind w:firstLine="0"/>
        <w:rPr>
          <w:sz w:val="24"/>
          <w:szCs w:val="24"/>
        </w:rPr>
      </w:pPr>
      <w:r>
        <w:rPr>
          <w:sz w:val="24"/>
          <w:szCs w:val="24"/>
        </w:rPr>
        <w:t>5-05-52</w:t>
      </w:r>
    </w:p>
    <w:p w:rsidR="001A1A10" w:rsidRDefault="001A1A10" w:rsidP="008B4431">
      <w:pPr>
        <w:ind w:left="5812"/>
        <w:jc w:val="center"/>
        <w:rPr>
          <w:sz w:val="24"/>
          <w:szCs w:val="24"/>
        </w:rPr>
        <w:sectPr w:rsidR="001A1A10" w:rsidSect="001A1A10">
          <w:headerReference w:type="even" r:id="rId8"/>
          <w:headerReference w:type="default" r:id="rId9"/>
          <w:headerReference w:type="first" r:id="rId10"/>
          <w:footnotePr>
            <w:numRestart w:val="eachPage"/>
          </w:footnotePr>
          <w:pgSz w:w="11906" w:h="16838" w:code="9"/>
          <w:pgMar w:top="1134" w:right="1134" w:bottom="1134" w:left="1134" w:header="567" w:footer="567" w:gutter="0"/>
          <w:cols w:space="708"/>
          <w:titlePg/>
          <w:docGrid w:linePitch="381"/>
        </w:sectPr>
      </w:pPr>
    </w:p>
    <w:p w:rsidR="001A1A10" w:rsidRPr="008B4431" w:rsidRDefault="001A1A10" w:rsidP="001A1A10">
      <w:pPr>
        <w:ind w:left="5812" w:firstLine="0"/>
        <w:jc w:val="center"/>
        <w:rPr>
          <w:sz w:val="24"/>
          <w:szCs w:val="24"/>
        </w:rPr>
      </w:pPr>
      <w:r w:rsidRPr="008B4431">
        <w:rPr>
          <w:sz w:val="24"/>
          <w:szCs w:val="24"/>
        </w:rPr>
        <w:lastRenderedPageBreak/>
        <w:t>Утверждена</w:t>
      </w:r>
    </w:p>
    <w:p w:rsidR="001A1A10" w:rsidRPr="008B4431" w:rsidRDefault="001A1A10" w:rsidP="008B4431">
      <w:pPr>
        <w:ind w:left="5812"/>
        <w:jc w:val="center"/>
        <w:rPr>
          <w:sz w:val="24"/>
          <w:szCs w:val="24"/>
        </w:rPr>
      </w:pPr>
    </w:p>
    <w:p w:rsidR="001A1A10" w:rsidRPr="008B4431" w:rsidRDefault="001A1A10" w:rsidP="001A1A10">
      <w:pPr>
        <w:ind w:left="5812" w:firstLine="0"/>
        <w:jc w:val="both"/>
        <w:rPr>
          <w:sz w:val="24"/>
          <w:szCs w:val="24"/>
        </w:rPr>
      </w:pPr>
      <w:r w:rsidRPr="008B4431">
        <w:rPr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1A1A10" w:rsidRPr="008B4431" w:rsidRDefault="001A1A10" w:rsidP="008B4431">
      <w:pPr>
        <w:ind w:left="5812"/>
        <w:jc w:val="both"/>
        <w:rPr>
          <w:sz w:val="24"/>
          <w:szCs w:val="24"/>
        </w:rPr>
      </w:pPr>
    </w:p>
    <w:p w:rsidR="001A1A10" w:rsidRPr="008B4431" w:rsidRDefault="001A1A10" w:rsidP="001A1A10">
      <w:pPr>
        <w:ind w:left="5812" w:firstLine="0"/>
        <w:jc w:val="both"/>
        <w:rPr>
          <w:sz w:val="24"/>
          <w:szCs w:val="24"/>
        </w:rPr>
      </w:pPr>
      <w:r w:rsidRPr="008B4431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r w:rsidR="00B83D4E">
        <w:rPr>
          <w:sz w:val="24"/>
          <w:szCs w:val="24"/>
        </w:rPr>
        <w:t>30</w:t>
      </w:r>
      <w:r>
        <w:rPr>
          <w:sz w:val="24"/>
          <w:szCs w:val="24"/>
        </w:rPr>
        <w:t xml:space="preserve">» </w:t>
      </w:r>
      <w:r w:rsidR="00B83D4E">
        <w:rPr>
          <w:sz w:val="24"/>
          <w:szCs w:val="24"/>
        </w:rPr>
        <w:t xml:space="preserve"> декабря </w:t>
      </w:r>
      <w:r>
        <w:rPr>
          <w:sz w:val="24"/>
          <w:szCs w:val="24"/>
        </w:rPr>
        <w:t>2020</w:t>
      </w:r>
      <w:r w:rsidRPr="008B4431">
        <w:rPr>
          <w:sz w:val="24"/>
          <w:szCs w:val="24"/>
        </w:rPr>
        <w:t xml:space="preserve">г. № </w:t>
      </w:r>
      <w:r w:rsidR="00B83D4E">
        <w:rPr>
          <w:sz w:val="24"/>
          <w:szCs w:val="24"/>
        </w:rPr>
        <w:t>1525</w:t>
      </w:r>
    </w:p>
    <w:p w:rsidR="001A1A10" w:rsidRDefault="001A1A10" w:rsidP="002F671F">
      <w:pPr>
        <w:ind w:firstLine="0"/>
      </w:pPr>
    </w:p>
    <w:p w:rsidR="001A1A10" w:rsidRDefault="001A1A10" w:rsidP="002F671F">
      <w:pPr>
        <w:ind w:firstLine="0"/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keepNext/>
        <w:autoSpaceDE w:val="0"/>
        <w:autoSpaceDN w:val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val="x-none" w:eastAsia="x-none"/>
        </w:rPr>
      </w:pPr>
      <w:r w:rsidRPr="001A1A10">
        <w:rPr>
          <w:rFonts w:eastAsia="Times New Roman" w:cs="Times New Roman"/>
          <w:b/>
          <w:bCs/>
          <w:szCs w:val="28"/>
          <w:lang w:eastAsia="x-none"/>
        </w:rPr>
        <w:t>Под</w:t>
      </w:r>
      <w:r w:rsidRPr="001A1A10">
        <w:rPr>
          <w:rFonts w:eastAsia="Times New Roman" w:cs="Times New Roman"/>
          <w:b/>
          <w:bCs/>
          <w:szCs w:val="28"/>
          <w:lang w:val="x-none" w:eastAsia="x-none"/>
        </w:rPr>
        <w:t>программа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1A1A10">
        <w:rPr>
          <w:rFonts w:eastAsia="Times New Roman" w:cs="Times New Roman"/>
          <w:szCs w:val="28"/>
          <w:lang w:eastAsia="ru-RU"/>
        </w:rPr>
        <w:t>«</w:t>
      </w:r>
      <w:r w:rsidRPr="001A1A10">
        <w:rPr>
          <w:rFonts w:eastAsia="Times New Roman" w:cs="Times New Roman"/>
          <w:b/>
          <w:szCs w:val="28"/>
          <w:lang w:eastAsia="ru-RU"/>
        </w:rPr>
        <w:t xml:space="preserve">Профилактика безнадзорности 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1A1A10">
        <w:rPr>
          <w:rFonts w:eastAsia="Times New Roman" w:cs="Times New Roman"/>
          <w:b/>
          <w:szCs w:val="28"/>
          <w:lang w:eastAsia="ru-RU"/>
        </w:rPr>
        <w:t>и правонарушений несовершеннолетних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1A1A10">
        <w:rPr>
          <w:rFonts w:eastAsia="Times New Roman" w:cs="Times New Roman"/>
          <w:b/>
          <w:szCs w:val="28"/>
          <w:lang w:eastAsia="ru-RU"/>
        </w:rPr>
        <w:t xml:space="preserve"> </w:t>
      </w:r>
      <w:proofErr w:type="gramStart"/>
      <w:r w:rsidRPr="001A1A10">
        <w:rPr>
          <w:rFonts w:eastAsia="Times New Roman" w:cs="Times New Roman"/>
          <w:b/>
          <w:szCs w:val="28"/>
          <w:lang w:eastAsia="ru-RU"/>
        </w:rPr>
        <w:t>в</w:t>
      </w:r>
      <w:proofErr w:type="gramEnd"/>
      <w:r w:rsidRPr="001A1A10">
        <w:rPr>
          <w:rFonts w:eastAsia="Times New Roman" w:cs="Times New Roman"/>
          <w:b/>
          <w:szCs w:val="28"/>
          <w:lang w:eastAsia="ru-RU"/>
        </w:rPr>
        <w:t xml:space="preserve"> </w:t>
      </w:r>
      <w:proofErr w:type="gramStart"/>
      <w:r w:rsidRPr="001A1A10">
        <w:rPr>
          <w:rFonts w:eastAsia="Times New Roman" w:cs="Times New Roman"/>
          <w:b/>
          <w:szCs w:val="28"/>
          <w:lang w:eastAsia="ru-RU"/>
        </w:rPr>
        <w:t>Лениногорском</w:t>
      </w:r>
      <w:proofErr w:type="gramEnd"/>
      <w:r w:rsidRPr="001A1A10">
        <w:rPr>
          <w:rFonts w:eastAsia="Times New Roman" w:cs="Times New Roman"/>
          <w:b/>
          <w:szCs w:val="28"/>
          <w:lang w:eastAsia="ru-RU"/>
        </w:rPr>
        <w:t xml:space="preserve"> муниципальном районе 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1A1A10">
        <w:rPr>
          <w:rFonts w:eastAsia="Times New Roman" w:cs="Times New Roman"/>
          <w:b/>
          <w:szCs w:val="28"/>
          <w:lang w:eastAsia="ru-RU"/>
        </w:rPr>
        <w:t>Республики Татарстан»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1A1A10">
        <w:rPr>
          <w:rFonts w:eastAsia="Times New Roman" w:cs="Times New Roman"/>
          <w:szCs w:val="28"/>
          <w:lang w:eastAsia="ru-RU"/>
        </w:rPr>
        <w:t xml:space="preserve"> </w:t>
      </w:r>
      <w:r w:rsidRPr="001A1A10">
        <w:rPr>
          <w:rFonts w:eastAsia="Times New Roman" w:cs="Times New Roman"/>
          <w:b/>
          <w:bCs/>
          <w:szCs w:val="28"/>
          <w:lang w:eastAsia="ru-RU"/>
        </w:rPr>
        <w:t>на 2021 – 2024 годы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spacing w:line="480" w:lineRule="auto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spacing w:line="480" w:lineRule="auto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spacing w:line="36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СОДЕРЖА</w:t>
      </w:r>
      <w:r w:rsidRPr="001A1A10">
        <w:rPr>
          <w:rFonts w:eastAsia="Times New Roman" w:cs="Times New Roman"/>
          <w:b/>
          <w:bCs/>
          <w:sz w:val="24"/>
          <w:szCs w:val="24"/>
          <w:lang w:eastAsia="ru-RU"/>
        </w:rPr>
        <w:t>НИЕ</w:t>
      </w:r>
    </w:p>
    <w:p w:rsidR="001A1A10" w:rsidRPr="001A1A10" w:rsidRDefault="001A1A10" w:rsidP="001A1A10">
      <w:pPr>
        <w:spacing w:line="36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9108"/>
        <w:gridCol w:w="747"/>
      </w:tblGrid>
      <w:tr w:rsidR="001A1A10" w:rsidRPr="001A1A10" w:rsidTr="00BD3A4F">
        <w:tc>
          <w:tcPr>
            <w:tcW w:w="9108" w:type="dxa"/>
          </w:tcPr>
          <w:p w:rsidR="001A1A10" w:rsidRPr="001A1A10" w:rsidRDefault="001A1A10" w:rsidP="001A1A10">
            <w:pPr>
              <w:ind w:firstLine="0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bCs/>
                <w:iCs/>
                <w:szCs w:val="28"/>
                <w:lang w:eastAsia="ru-RU"/>
              </w:rPr>
              <w:t>1. Паспорт</w:t>
            </w:r>
          </w:p>
        </w:tc>
        <w:tc>
          <w:tcPr>
            <w:tcW w:w="747" w:type="dxa"/>
            <w:vAlign w:val="center"/>
          </w:tcPr>
          <w:p w:rsidR="001A1A10" w:rsidRPr="001A1A10" w:rsidRDefault="001A1A10" w:rsidP="001A1A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bCs/>
                <w:iCs/>
                <w:szCs w:val="28"/>
                <w:lang w:eastAsia="ru-RU"/>
              </w:rPr>
              <w:t>3</w:t>
            </w:r>
          </w:p>
        </w:tc>
      </w:tr>
      <w:tr w:rsidR="001A1A10" w:rsidRPr="001A1A10" w:rsidTr="00BD3A4F">
        <w:trPr>
          <w:trHeight w:val="554"/>
        </w:trPr>
        <w:tc>
          <w:tcPr>
            <w:tcW w:w="9108" w:type="dxa"/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bCs/>
                <w:iCs/>
                <w:szCs w:val="28"/>
                <w:lang w:eastAsia="ru-RU"/>
              </w:rPr>
              <w:t>2.</w:t>
            </w:r>
            <w:r w:rsidRPr="001A1A1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1A1A10">
              <w:rPr>
                <w:rFonts w:eastAsia="Times New Roman" w:cs="Times New Roman"/>
                <w:szCs w:val="28"/>
                <w:lang w:eastAsia="ru-RU"/>
              </w:rPr>
              <w:t>Общая характеристика сферы реализации Подпрограммы. Основные проблемы и пути их решения.</w:t>
            </w:r>
          </w:p>
        </w:tc>
        <w:tc>
          <w:tcPr>
            <w:tcW w:w="747" w:type="dxa"/>
            <w:vAlign w:val="center"/>
          </w:tcPr>
          <w:p w:rsidR="001A1A10" w:rsidRPr="001A1A10" w:rsidRDefault="001A1A10" w:rsidP="001A1A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1A1A10" w:rsidRPr="001A1A10" w:rsidTr="00BD3A4F">
        <w:trPr>
          <w:trHeight w:val="322"/>
        </w:trPr>
        <w:tc>
          <w:tcPr>
            <w:tcW w:w="9108" w:type="dxa"/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outlineLvl w:val="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3. </w:t>
            </w: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>Цели, задачи, целевые показатели, сроки реализации. Подпрограммы</w:t>
            </w:r>
          </w:p>
        </w:tc>
        <w:tc>
          <w:tcPr>
            <w:tcW w:w="747" w:type="dxa"/>
            <w:vAlign w:val="center"/>
          </w:tcPr>
          <w:p w:rsidR="001A1A10" w:rsidRPr="001A1A10" w:rsidRDefault="001A1A10" w:rsidP="001A1A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</w:tr>
      <w:tr w:rsidR="001A1A10" w:rsidRPr="001A1A10" w:rsidTr="00BD3A4F">
        <w:tc>
          <w:tcPr>
            <w:tcW w:w="9108" w:type="dxa"/>
          </w:tcPr>
          <w:p w:rsidR="001A1A10" w:rsidRPr="001A1A10" w:rsidRDefault="001A1A10" w:rsidP="001A1A10">
            <w:pPr>
              <w:keepNext/>
              <w:suppressAutoHyphens/>
              <w:autoSpaceDE w:val="0"/>
              <w:autoSpaceDN w:val="0"/>
              <w:ind w:right="71" w:firstLine="0"/>
              <w:jc w:val="both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4. </w:t>
            </w: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>Характеристика и перечень программных мероприятий</w:t>
            </w:r>
          </w:p>
        </w:tc>
        <w:tc>
          <w:tcPr>
            <w:tcW w:w="747" w:type="dxa"/>
            <w:vAlign w:val="center"/>
          </w:tcPr>
          <w:p w:rsidR="001A1A10" w:rsidRPr="001A1A10" w:rsidRDefault="001A1A10" w:rsidP="001A1A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  <w:tr w:rsidR="001A1A10" w:rsidRPr="001A1A10" w:rsidTr="00BD3A4F">
        <w:tc>
          <w:tcPr>
            <w:tcW w:w="9108" w:type="dxa"/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outlineLvl w:val="1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 xml:space="preserve">5. Ресурсное обеспечение Подпрограммы </w:t>
            </w:r>
          </w:p>
        </w:tc>
        <w:tc>
          <w:tcPr>
            <w:tcW w:w="747" w:type="dxa"/>
            <w:vAlign w:val="center"/>
          </w:tcPr>
          <w:p w:rsidR="001A1A10" w:rsidRPr="001A1A10" w:rsidRDefault="001A1A10" w:rsidP="001A1A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  <w:tr w:rsidR="001A1A10" w:rsidRPr="001A1A10" w:rsidTr="00BD3A4F">
        <w:tc>
          <w:tcPr>
            <w:tcW w:w="9108" w:type="dxa"/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bCs/>
                <w:szCs w:val="28"/>
                <w:lang w:val="en-US" w:eastAsia="ru-RU"/>
              </w:rPr>
            </w:pPr>
            <w:r w:rsidRPr="001A1A10">
              <w:rPr>
                <w:rFonts w:eastAsia="Times New Roman" w:cs="Times New Roman"/>
                <w:bCs/>
                <w:szCs w:val="28"/>
                <w:lang w:eastAsia="ru-RU"/>
              </w:rPr>
              <w:t xml:space="preserve">6. </w:t>
            </w: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Механизм реализации Подпрограммы </w:t>
            </w:r>
          </w:p>
        </w:tc>
        <w:tc>
          <w:tcPr>
            <w:tcW w:w="747" w:type="dxa"/>
            <w:vAlign w:val="center"/>
          </w:tcPr>
          <w:p w:rsidR="001A1A10" w:rsidRPr="001A1A10" w:rsidRDefault="001A1A10" w:rsidP="001A1A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</w:tr>
      <w:tr w:rsidR="001A1A10" w:rsidRPr="001A1A10" w:rsidTr="00BD3A4F">
        <w:tc>
          <w:tcPr>
            <w:tcW w:w="9108" w:type="dxa"/>
          </w:tcPr>
          <w:p w:rsidR="001A1A10" w:rsidRPr="001A1A10" w:rsidRDefault="001A1A10" w:rsidP="001A1A10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ind w:firstLine="0"/>
              <w:jc w:val="both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 xml:space="preserve">7. </w:t>
            </w: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Оценка эффективности Подпрограммы </w:t>
            </w:r>
          </w:p>
        </w:tc>
        <w:tc>
          <w:tcPr>
            <w:tcW w:w="747" w:type="dxa"/>
            <w:vAlign w:val="center"/>
          </w:tcPr>
          <w:p w:rsidR="001A1A10" w:rsidRPr="001A1A10" w:rsidRDefault="001A1A10" w:rsidP="001A1A10">
            <w:pPr>
              <w:ind w:firstLine="0"/>
              <w:jc w:val="center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bCs/>
                <w:iCs/>
                <w:szCs w:val="28"/>
                <w:lang w:eastAsia="ru-RU"/>
              </w:rPr>
              <w:t>13</w:t>
            </w:r>
          </w:p>
        </w:tc>
      </w:tr>
      <w:tr w:rsidR="001A1A10" w:rsidRPr="001A1A10" w:rsidTr="00BD3A4F">
        <w:tc>
          <w:tcPr>
            <w:tcW w:w="9108" w:type="dxa"/>
          </w:tcPr>
          <w:p w:rsidR="001A1A10" w:rsidRPr="001A1A10" w:rsidRDefault="001A1A10" w:rsidP="001A1A10">
            <w:pPr>
              <w:suppressAutoHyphens/>
              <w:ind w:firstLine="0"/>
              <w:outlineLvl w:val="4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bCs/>
                <w:iCs/>
                <w:szCs w:val="28"/>
                <w:lang w:eastAsia="ru-RU"/>
              </w:rPr>
              <w:t>8. Программные мероприятия</w:t>
            </w:r>
          </w:p>
        </w:tc>
        <w:tc>
          <w:tcPr>
            <w:tcW w:w="747" w:type="dxa"/>
            <w:vAlign w:val="center"/>
          </w:tcPr>
          <w:p w:rsidR="001A1A10" w:rsidRPr="001A1A10" w:rsidRDefault="001A1A10" w:rsidP="001A1A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</w:tr>
      <w:tr w:rsidR="001A1A10" w:rsidRPr="001A1A10" w:rsidTr="00BD3A4F">
        <w:tc>
          <w:tcPr>
            <w:tcW w:w="9108" w:type="dxa"/>
          </w:tcPr>
          <w:p w:rsidR="001A1A10" w:rsidRPr="001A1A10" w:rsidRDefault="001A1A10" w:rsidP="001A1A10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1A1A10" w:rsidRPr="001A1A10" w:rsidRDefault="001A1A10" w:rsidP="001A1A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A1A10" w:rsidRPr="001A1A10" w:rsidTr="00BD3A4F">
        <w:tc>
          <w:tcPr>
            <w:tcW w:w="9108" w:type="dxa"/>
          </w:tcPr>
          <w:p w:rsidR="001A1A10" w:rsidRPr="001A1A10" w:rsidRDefault="001A1A10" w:rsidP="001A1A10">
            <w:pPr>
              <w:keepNext/>
              <w:suppressAutoHyphens/>
              <w:ind w:firstLine="0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1A1A10" w:rsidRPr="001A1A10" w:rsidRDefault="001A1A10" w:rsidP="001A1A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A1A10" w:rsidRPr="001A1A10" w:rsidTr="00BD3A4F">
        <w:tc>
          <w:tcPr>
            <w:tcW w:w="9108" w:type="dxa"/>
          </w:tcPr>
          <w:p w:rsidR="001A1A10" w:rsidRPr="001A1A10" w:rsidRDefault="001A1A10" w:rsidP="001A1A10">
            <w:pPr>
              <w:keepNext/>
              <w:suppressAutoHyphens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1A1A10" w:rsidRPr="001A1A10" w:rsidRDefault="001A1A10" w:rsidP="001A1A10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1A1A10">
        <w:rPr>
          <w:rFonts w:eastAsia="Times New Roman" w:cs="Times New Roman"/>
          <w:szCs w:val="28"/>
          <w:lang w:eastAsia="ru-RU"/>
        </w:rPr>
        <w:t>Паспорт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7169"/>
      </w:tblGrid>
      <w:tr w:rsidR="001A1A10" w:rsidRPr="001A1A10" w:rsidTr="001A1A10">
        <w:tc>
          <w:tcPr>
            <w:tcW w:w="2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Наименование государственной Подпрограммы</w:t>
            </w:r>
          </w:p>
        </w:tc>
        <w:tc>
          <w:tcPr>
            <w:tcW w:w="71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 xml:space="preserve">«Профилактика безнадзорности и правонарушений среди несовершеннолетних </w:t>
            </w:r>
            <w:proofErr w:type="gramStart"/>
            <w:r w:rsidRPr="001A1A10">
              <w:rPr>
                <w:rFonts w:eastAsia="Times New Roman" w:cs="Times New Roman"/>
                <w:szCs w:val="28"/>
                <w:lang w:eastAsia="ru-RU"/>
              </w:rPr>
              <w:t>в</w:t>
            </w:r>
            <w:proofErr w:type="gramEnd"/>
            <w:r w:rsidRPr="001A1A1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1A1A10">
              <w:rPr>
                <w:rFonts w:eastAsia="Times New Roman" w:cs="Times New Roman"/>
                <w:szCs w:val="28"/>
                <w:lang w:eastAsia="ru-RU"/>
              </w:rPr>
              <w:t>Лениногорском</w:t>
            </w:r>
            <w:proofErr w:type="gramEnd"/>
            <w:r w:rsidRPr="001A1A10">
              <w:rPr>
                <w:rFonts w:eastAsia="Times New Roman" w:cs="Times New Roman"/>
                <w:szCs w:val="28"/>
                <w:lang w:eastAsia="ru-RU"/>
              </w:rPr>
              <w:t xml:space="preserve"> муниципальном районе Республики Татарстан» на 2021-2024гг. (далее–</w:t>
            </w:r>
            <w:proofErr w:type="spellStart"/>
            <w:r w:rsidRPr="001A1A10">
              <w:rPr>
                <w:rFonts w:eastAsia="Times New Roman" w:cs="Times New Roman"/>
                <w:szCs w:val="28"/>
                <w:lang w:eastAsia="ru-RU"/>
              </w:rPr>
              <w:t>Подрограмма</w:t>
            </w:r>
            <w:proofErr w:type="spellEnd"/>
            <w:r w:rsidRPr="001A1A10">
              <w:rPr>
                <w:rFonts w:eastAsia="Times New Roman" w:cs="Times New Roman"/>
                <w:szCs w:val="28"/>
                <w:lang w:eastAsia="ru-RU"/>
              </w:rPr>
              <w:t>).</w:t>
            </w:r>
          </w:p>
        </w:tc>
      </w:tr>
      <w:tr w:rsidR="001A1A10" w:rsidRPr="001A1A10" w:rsidTr="001A1A10">
        <w:tc>
          <w:tcPr>
            <w:tcW w:w="2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1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 xml:space="preserve">Исполнительный комитет </w:t>
            </w:r>
            <w:r>
              <w:rPr>
                <w:rFonts w:eastAsia="Times New Roman" w:cs="Times New Roman"/>
                <w:szCs w:val="28"/>
                <w:lang w:eastAsia="ru-RU"/>
              </w:rPr>
              <w:t>муниципального образования «Лениногорский муниципальный район»</w:t>
            </w:r>
          </w:p>
        </w:tc>
      </w:tr>
      <w:tr w:rsidR="001A1A10" w:rsidRPr="001A1A10" w:rsidTr="001A1A10">
        <w:tc>
          <w:tcPr>
            <w:tcW w:w="2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Основание разработчики Подпрограммы</w:t>
            </w:r>
          </w:p>
        </w:tc>
        <w:tc>
          <w:tcPr>
            <w:tcW w:w="71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pacing w:val="4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4"/>
                <w:szCs w:val="28"/>
                <w:lang w:eastAsia="ru-RU"/>
              </w:rPr>
              <w:t xml:space="preserve">ГАУСО «КЦСОН «Исток-Башлангыч» по Лениногорскому муниципальному  району; 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pacing w:val="4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4"/>
                <w:szCs w:val="28"/>
                <w:lang w:eastAsia="ru-RU"/>
              </w:rPr>
              <w:t>МКУ «</w:t>
            </w:r>
            <w:r>
              <w:rPr>
                <w:rFonts w:eastAsia="Times New Roman" w:cs="Times New Roman"/>
                <w:spacing w:val="4"/>
                <w:szCs w:val="28"/>
                <w:lang w:eastAsia="ru-RU"/>
              </w:rPr>
              <w:t>Управление о</w:t>
            </w:r>
            <w:r w:rsidRPr="001A1A10">
              <w:rPr>
                <w:rFonts w:eastAsia="Times New Roman" w:cs="Times New Roman"/>
                <w:spacing w:val="4"/>
                <w:szCs w:val="28"/>
                <w:lang w:eastAsia="ru-RU"/>
              </w:rPr>
              <w:t>бразования</w:t>
            </w:r>
            <w:r>
              <w:rPr>
                <w:rFonts w:eastAsia="Times New Roman" w:cs="Times New Roman"/>
                <w:spacing w:val="4"/>
                <w:szCs w:val="28"/>
                <w:lang w:eastAsia="ru-RU"/>
              </w:rPr>
              <w:t>» Исполнительного комитета</w:t>
            </w:r>
            <w:r w:rsidRPr="001A1A10">
              <w:rPr>
                <w:rFonts w:eastAsia="Times New Roman" w:cs="Times New Roman"/>
                <w:spacing w:val="4"/>
                <w:szCs w:val="28"/>
                <w:lang w:eastAsia="ru-RU"/>
              </w:rPr>
              <w:t xml:space="preserve"> муниципального образования «Лениногорский муниципальный район»;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pacing w:val="4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4"/>
                <w:szCs w:val="28"/>
                <w:lang w:eastAsia="ru-RU"/>
              </w:rPr>
              <w:t>О</w:t>
            </w:r>
            <w:r>
              <w:rPr>
                <w:rFonts w:eastAsia="Times New Roman" w:cs="Times New Roman"/>
                <w:spacing w:val="4"/>
                <w:szCs w:val="28"/>
                <w:lang w:eastAsia="ru-RU"/>
              </w:rPr>
              <w:t xml:space="preserve">тдел </w:t>
            </w:r>
            <w:r w:rsidRPr="001A1A10">
              <w:rPr>
                <w:rFonts w:eastAsia="Times New Roman" w:cs="Times New Roman"/>
                <w:spacing w:val="4"/>
                <w:szCs w:val="28"/>
                <w:lang w:eastAsia="ru-RU"/>
              </w:rPr>
              <w:t>МВД России по Лениногорскому району;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pacing w:val="4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4"/>
                <w:szCs w:val="28"/>
                <w:lang w:eastAsia="ru-RU"/>
              </w:rPr>
              <w:t>Управление Федеральной службы исполнения наказаний по Лениногорскому району;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pacing w:val="4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4"/>
                <w:szCs w:val="28"/>
                <w:lang w:eastAsia="ru-RU"/>
              </w:rPr>
              <w:t>ГАУЗ «Лениногорская ЦРБ»;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pacing w:val="4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4"/>
                <w:szCs w:val="28"/>
                <w:lang w:eastAsia="ru-RU"/>
              </w:rPr>
              <w:t xml:space="preserve">МКУ «Управление по делам молодежи, спорту и туризму» </w:t>
            </w:r>
            <w:r>
              <w:rPr>
                <w:rFonts w:eastAsia="Times New Roman" w:cs="Times New Roman"/>
                <w:spacing w:val="4"/>
                <w:szCs w:val="28"/>
                <w:lang w:eastAsia="ru-RU"/>
              </w:rPr>
              <w:t xml:space="preserve">Исполнительного комитета </w:t>
            </w:r>
            <w:r>
              <w:rPr>
                <w:rFonts w:eastAsia="Times New Roman" w:cs="Times New Roman"/>
                <w:szCs w:val="28"/>
                <w:lang w:eastAsia="ru-RU"/>
              </w:rPr>
              <w:t>муниципального образования «Лениногорский муниципальный район»</w:t>
            </w:r>
            <w:r w:rsidRPr="001A1A10">
              <w:rPr>
                <w:rFonts w:eastAsia="Times New Roman" w:cs="Times New Roman"/>
                <w:spacing w:val="4"/>
                <w:szCs w:val="28"/>
                <w:lang w:eastAsia="ru-RU"/>
              </w:rPr>
              <w:t>;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pacing w:val="4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4"/>
                <w:szCs w:val="28"/>
                <w:lang w:eastAsia="ru-RU"/>
              </w:rPr>
              <w:t>МБУ «Дворец культуры</w:t>
            </w:r>
            <w:r>
              <w:rPr>
                <w:rFonts w:eastAsia="Times New Roman" w:cs="Times New Roman"/>
                <w:spacing w:val="4"/>
                <w:szCs w:val="28"/>
                <w:lang w:eastAsia="ru-RU"/>
              </w:rPr>
              <w:t>»</w:t>
            </w:r>
            <w:r w:rsidRPr="001A1A10">
              <w:rPr>
                <w:rFonts w:eastAsia="Times New Roman" w:cs="Times New Roman"/>
                <w:spacing w:val="4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муниципального образования «Лениногорский муниципальный район»</w:t>
            </w:r>
            <w:r w:rsidRPr="001A1A10">
              <w:rPr>
                <w:rFonts w:eastAsia="Times New Roman" w:cs="Times New Roman"/>
                <w:spacing w:val="4"/>
                <w:szCs w:val="28"/>
                <w:lang w:eastAsia="ru-RU"/>
              </w:rPr>
              <w:t>;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pacing w:val="4"/>
                <w:szCs w:val="28"/>
                <w:lang w:eastAsia="ru-RU"/>
              </w:rPr>
            </w:pPr>
            <w:r>
              <w:rPr>
                <w:rFonts w:eastAsia="Times New Roman" w:cs="Times New Roman"/>
                <w:spacing w:val="4"/>
                <w:szCs w:val="28"/>
                <w:lang w:eastAsia="ru-RU"/>
              </w:rPr>
              <w:t xml:space="preserve">ГКУ «Центр занятости и труда г.Лениногорска» </w:t>
            </w:r>
            <w:r w:rsidRPr="001A1A10">
              <w:rPr>
                <w:rFonts w:eastAsia="Times New Roman" w:cs="Times New Roman"/>
                <w:spacing w:val="4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муниципального образования «Лениногорский муниципальный район»</w:t>
            </w:r>
            <w:r w:rsidRPr="001A1A10">
              <w:rPr>
                <w:rFonts w:eastAsia="Times New Roman" w:cs="Times New Roman"/>
                <w:spacing w:val="4"/>
                <w:szCs w:val="28"/>
                <w:lang w:eastAsia="ru-RU"/>
              </w:rPr>
              <w:t>;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pacing w:val="4"/>
                <w:szCs w:val="28"/>
                <w:lang w:eastAsia="ru-RU"/>
              </w:rPr>
            </w:pPr>
            <w:r>
              <w:rPr>
                <w:rFonts w:eastAsia="Times New Roman" w:cs="Times New Roman"/>
                <w:spacing w:val="4"/>
                <w:szCs w:val="28"/>
                <w:lang w:eastAsia="ru-RU"/>
              </w:rPr>
              <w:t xml:space="preserve">Сектор опеки и попечительства Исполнительного комитета </w:t>
            </w:r>
            <w:r>
              <w:rPr>
                <w:rFonts w:eastAsia="Times New Roman" w:cs="Times New Roman"/>
                <w:szCs w:val="28"/>
                <w:lang w:eastAsia="ru-RU"/>
              </w:rPr>
              <w:t>муниципального образования «Лениногорский муниципальный район»</w:t>
            </w:r>
          </w:p>
        </w:tc>
      </w:tr>
      <w:tr w:rsidR="001A1A10" w:rsidRPr="001A1A10" w:rsidTr="001A1A10">
        <w:tc>
          <w:tcPr>
            <w:tcW w:w="2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Цель Подпрограммы</w:t>
            </w:r>
          </w:p>
        </w:tc>
        <w:tc>
          <w:tcPr>
            <w:tcW w:w="71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pacing w:val="-8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-8"/>
                <w:szCs w:val="28"/>
                <w:lang w:eastAsia="ru-RU"/>
              </w:rPr>
              <w:t>Повышение эффективности региональной системы профилактики безнадзорности, правонарушений и преступлений несовершеннолетних, а также защиты их прав.</w:t>
            </w:r>
          </w:p>
        </w:tc>
      </w:tr>
      <w:tr w:rsidR="001A1A10" w:rsidRPr="001A1A10" w:rsidTr="001A1A10">
        <w:tc>
          <w:tcPr>
            <w:tcW w:w="2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71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>1)</w:t>
            </w:r>
            <w:r w:rsidRPr="001A1A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 </w:t>
            </w:r>
            <w:proofErr w:type="gramStart"/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>в</w:t>
            </w:r>
            <w:proofErr w:type="gramEnd"/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 </w:t>
            </w:r>
            <w:proofErr w:type="gramStart"/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>Лениногорском</w:t>
            </w:r>
            <w:proofErr w:type="gramEnd"/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 муниципальном районе;</w:t>
            </w:r>
          </w:p>
          <w:p w:rsidR="001A1A10" w:rsidRPr="001A1A10" w:rsidRDefault="001A1A10" w:rsidP="001A1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>2)развитие инфраструктуры системы профилактики безнадзорности и правонарушений несовершеннолетних, социальной реабилитации несовершеннолетних, вступивших в конфликт с законом;</w:t>
            </w:r>
          </w:p>
          <w:p w:rsidR="001A1A10" w:rsidRPr="001A1A10" w:rsidRDefault="001A1A10" w:rsidP="001A1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3) организация межведомственного сопровождения </w:t>
            </w: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lastRenderedPageBreak/>
              <w:t>несовершеннолетних, склонных к асоциальному поведению или вступивших в конфликт с законом, а также несовершеннолетних, освобождающихся из специальных учебно-воспитательных учреждений закрытого типа и воспитательных колоний;</w:t>
            </w:r>
          </w:p>
          <w:p w:rsidR="001A1A10" w:rsidRPr="001A1A10" w:rsidRDefault="001A1A10" w:rsidP="001A1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>4) создание системы методического обеспечения и повышения профессиональной компетентности различных категорий специалистов, работающих с несовершеннолетними, вступившими в конфликт с законом;</w:t>
            </w:r>
          </w:p>
          <w:p w:rsidR="001A1A10" w:rsidRPr="001A1A10" w:rsidRDefault="001A1A10" w:rsidP="001A1A10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>5)создание организационно-правовых механизмов защиты детей от распространения информации, причиняющей вред их здоровью и развитию.</w:t>
            </w:r>
          </w:p>
        </w:tc>
      </w:tr>
      <w:tr w:rsidR="001A1A10" w:rsidRPr="001A1A10" w:rsidTr="001A1A10">
        <w:tc>
          <w:tcPr>
            <w:tcW w:w="2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lastRenderedPageBreak/>
              <w:t>Сроки реализации Подпрограммы</w:t>
            </w:r>
          </w:p>
        </w:tc>
        <w:tc>
          <w:tcPr>
            <w:tcW w:w="71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2021– 2024 годы</w:t>
            </w:r>
          </w:p>
        </w:tc>
      </w:tr>
      <w:tr w:rsidR="001A1A10" w:rsidRPr="001A1A10" w:rsidTr="001A1A10">
        <w:tc>
          <w:tcPr>
            <w:tcW w:w="2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 xml:space="preserve">Объёмы и источники финансирования Подпрограммы </w:t>
            </w:r>
          </w:p>
        </w:tc>
        <w:tc>
          <w:tcPr>
            <w:tcW w:w="71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Всего в 2021-2024 годах планируются финансовые затраты на выполнение мероприятий Подпрограммы в сумме 2560,0 тысяч рублей за счёт </w:t>
            </w: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текущих смет субъектов профилактики правонарушений</w:t>
            </w:r>
            <w:r w:rsidRPr="001A1A1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По годам реализации Подпрограммы всего: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2021год – 640 тыс. рублей;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2022год – 640 тыс. рублей;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2023год – 640 тыс. рублей.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2024год – 640 тыс. рублей.</w:t>
            </w:r>
          </w:p>
          <w:p w:rsidR="001A1A10" w:rsidRPr="001A1A10" w:rsidRDefault="001A1A10" w:rsidP="001A1A10">
            <w:pPr>
              <w:ind w:firstLine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1A1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Кроме того, предполагаются затраты </w:t>
            </w:r>
            <w:proofErr w:type="gramStart"/>
            <w:r w:rsidRPr="001A1A10">
              <w:rPr>
                <w:rFonts w:eastAsia="Times New Roman" w:cs="Times New Roman"/>
                <w:sz w:val="26"/>
                <w:szCs w:val="26"/>
                <w:lang w:eastAsia="ru-RU"/>
              </w:rPr>
              <w:t>из</w:t>
            </w:r>
            <w:proofErr w:type="gramEnd"/>
            <w:r w:rsidRPr="001A1A1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: </w:t>
            </w:r>
          </w:p>
          <w:p w:rsidR="001A1A10" w:rsidRPr="001A1A10" w:rsidRDefault="001A1A10" w:rsidP="001A1A10">
            <w:pPr>
              <w:keepNext/>
              <w:ind w:firstLine="432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1A10">
              <w:rPr>
                <w:rFonts w:eastAsia="Times New Roman" w:cs="Times New Roman"/>
                <w:sz w:val="26"/>
                <w:szCs w:val="26"/>
                <w:lang w:eastAsia="ru-RU"/>
              </w:rPr>
              <w:t>средства внебюджетных источников;</w:t>
            </w:r>
          </w:p>
          <w:p w:rsidR="001A1A10" w:rsidRPr="001A1A10" w:rsidRDefault="001A1A10" w:rsidP="001A1A10">
            <w:pPr>
              <w:keepNext/>
              <w:ind w:firstLine="432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1A1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иных источников, не запрещенных действующим законодательством. </w:t>
            </w:r>
          </w:p>
          <w:p w:rsidR="001A1A10" w:rsidRPr="001A1A10" w:rsidRDefault="001A1A10" w:rsidP="001A1A10">
            <w:pPr>
              <w:keepNext/>
              <w:ind w:firstLine="43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Объем </w:t>
            </w:r>
            <w:proofErr w:type="gramStart"/>
            <w:r w:rsidRPr="001A1A10">
              <w:rPr>
                <w:rFonts w:eastAsia="Times New Roman" w:cs="Times New Roman"/>
                <w:sz w:val="26"/>
                <w:szCs w:val="26"/>
                <w:lang w:eastAsia="ru-RU"/>
              </w:rPr>
              <w:t>средств, выделяемых из указанных источников носит</w:t>
            </w:r>
            <w:proofErr w:type="gramEnd"/>
            <w:r w:rsidRPr="001A1A1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 </w:t>
            </w:r>
          </w:p>
        </w:tc>
      </w:tr>
      <w:tr w:rsidR="001A1A10" w:rsidRPr="001A1A10" w:rsidTr="001A1A10">
        <w:tc>
          <w:tcPr>
            <w:tcW w:w="24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Ожидаемые результаты реализации  Подпрограммы</w:t>
            </w:r>
          </w:p>
        </w:tc>
        <w:tc>
          <w:tcPr>
            <w:tcW w:w="71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В ходе реализации Подпрограммы планируется: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1)</w:t>
            </w:r>
            <w:r w:rsidRPr="001A1A10">
              <w:rPr>
                <w:rFonts w:eastAsia="Times New Roman" w:cs="Times New Roman"/>
                <w:i/>
                <w:spacing w:val="-4"/>
                <w:szCs w:val="28"/>
                <w:lang w:eastAsia="ru-RU"/>
              </w:rPr>
              <w:t> </w:t>
            </w: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снижение уровня преступности, безнадзорности несовершеннолетних </w:t>
            </w:r>
            <w:proofErr w:type="gramStart"/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>в</w:t>
            </w:r>
            <w:proofErr w:type="gramEnd"/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 </w:t>
            </w:r>
            <w:proofErr w:type="gramStart"/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>Лениногорском</w:t>
            </w:r>
            <w:proofErr w:type="gramEnd"/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 муниципальном районе;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>2) уменьшение числа совершаемых правонарушений несовершеннолетними;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3) улучшение профилактики правонарушений среди несовершеннолетних;</w:t>
            </w:r>
          </w:p>
          <w:p w:rsidR="001A1A10" w:rsidRPr="001A1A10" w:rsidRDefault="001A1A10" w:rsidP="001A1A10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4) создание системы методического обеспечения и </w:t>
            </w: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lastRenderedPageBreak/>
              <w:t>повышения профессиональной компетентности различных категорий специалистов, работающих с несовершеннолетними, вступившими в конфликт с законом;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adjustRightInd w:val="0"/>
              <w:ind w:firstLine="2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A1A10">
              <w:rPr>
                <w:rFonts w:eastAsia="Times New Roman" w:cs="Times New Roman"/>
                <w:szCs w:val="28"/>
                <w:lang w:eastAsia="ru-RU"/>
              </w:rPr>
              <w:t>5)</w:t>
            </w:r>
            <w:r w:rsidRPr="001A1A10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 развитие инфраструктуры системы профилактики безнадзорности и правонарушений несовершеннолетних, социальной реабилитации несовершеннолетних, вступивших в конфликт с законом</w:t>
            </w:r>
          </w:p>
        </w:tc>
      </w:tr>
    </w:tbl>
    <w:p w:rsid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szCs w:val="28"/>
          <w:lang w:eastAsia="ru-RU"/>
        </w:rPr>
      </w:pPr>
      <w:bookmarkStart w:id="1" w:name="Par271"/>
      <w:bookmarkEnd w:id="1"/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1A1A10">
        <w:rPr>
          <w:rFonts w:eastAsia="Times New Roman" w:cs="Times New Roman"/>
          <w:szCs w:val="28"/>
          <w:lang w:eastAsia="ru-RU"/>
        </w:rPr>
        <w:t>2</w:t>
      </w:r>
      <w:r w:rsidRPr="001A1A10">
        <w:rPr>
          <w:rFonts w:eastAsia="Times New Roman" w:cs="Times New Roman"/>
          <w:b/>
          <w:szCs w:val="28"/>
          <w:lang w:eastAsia="ru-RU"/>
        </w:rPr>
        <w:t xml:space="preserve">. Общая характеристика сферы реализации Подпрограммы. 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spacing w:after="240"/>
        <w:ind w:firstLine="0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1A1A10">
        <w:rPr>
          <w:rFonts w:eastAsia="Times New Roman" w:cs="Times New Roman"/>
          <w:b/>
          <w:szCs w:val="28"/>
          <w:lang w:eastAsia="ru-RU"/>
        </w:rPr>
        <w:t>Основные проблемы и пути их р</w:t>
      </w:r>
      <w:r>
        <w:rPr>
          <w:rFonts w:eastAsia="Times New Roman" w:cs="Times New Roman"/>
          <w:b/>
          <w:szCs w:val="28"/>
          <w:lang w:eastAsia="ru-RU"/>
        </w:rPr>
        <w:t>ешения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Сферой реализации Подпрограммы является профилактика безнадзорности несовершеннолетних, а также правонарушений и преступлений, совершаемых несовершеннолетними и в отношении них </w:t>
      </w:r>
      <w:proofErr w:type="gramStart"/>
      <w:r w:rsidRPr="001A1A10">
        <w:rPr>
          <w:rFonts w:eastAsia="Times New Roman" w:cs="Times New Roman"/>
          <w:spacing w:val="-4"/>
          <w:szCs w:val="28"/>
          <w:lang w:eastAsia="ru-RU"/>
        </w:rPr>
        <w:t>в</w:t>
      </w:r>
      <w:proofErr w:type="gramEnd"/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 </w:t>
      </w:r>
      <w:proofErr w:type="gramStart"/>
      <w:r w:rsidRPr="001A1A10">
        <w:rPr>
          <w:rFonts w:eastAsia="Times New Roman" w:cs="Times New Roman"/>
          <w:spacing w:val="-4"/>
          <w:szCs w:val="28"/>
          <w:lang w:eastAsia="ru-RU"/>
        </w:rPr>
        <w:t>Лениногорском</w:t>
      </w:r>
      <w:proofErr w:type="gramEnd"/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 муниципальном районе.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Правительством Республики Татарстан, органами исполнительной государственной власти и органами местного самоуправления совместно с органами внутренних дел и иными правоохранительными органами осуществляется планомерная работа по развитию системы профилактики безнадзорности и правонарушений несовершеннолетних.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Координацию усилий всех органов и учреждений системы профилактики безнадзорности и правонарушений несовершеннолетних осуществляет комиссия по делам несовершеннолетних и защите их прав под руководством заместителя руководителя Исполнительного комитета МО «ЛМР» РТ по социальным вопросам </w:t>
      </w:r>
      <w:proofErr w:type="spellStart"/>
      <w:r w:rsidRPr="001A1A10">
        <w:rPr>
          <w:rFonts w:eastAsia="Times New Roman" w:cs="Times New Roman"/>
          <w:spacing w:val="-4"/>
          <w:szCs w:val="28"/>
          <w:lang w:eastAsia="ru-RU"/>
        </w:rPr>
        <w:t>В.В.Друк</w:t>
      </w:r>
      <w:proofErr w:type="spellEnd"/>
      <w:r w:rsidRPr="001A1A10">
        <w:rPr>
          <w:rFonts w:eastAsia="Times New Roman" w:cs="Times New Roman"/>
          <w:spacing w:val="-4"/>
          <w:szCs w:val="28"/>
          <w:lang w:eastAsia="ru-RU"/>
        </w:rPr>
        <w:t>.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Комиссия по делам несовершеннолетних и защите их прав Лениногорского муниципального района Республики Татарстан (далее также – Комиссия) создана и действует на основании Закона Республики Татарстан  от 20 мая 2011 года № 26-ЗРТ «О комиссиях по делам несовершеннолетних и защите их прав в Республике Татарстан». Комиссия состоит из 15 представителей субъектов системы профилактики, безнадзорности и правонарушений несовершеннолетних Лениногорского муниципального района (системы образования, правоохранительных органов, молодежной политики, здравоохранения, социальной защиты, уголовно-исполнительной инспекции, опеки и попечительства, центра занятости, управления культуры).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В заседаниях Комиссии принимает участие старший помощник прокурора Лениногорского района, приглашаются представители иных органов и учреждений, а также организаций, общественных объединений, занимающихся решением проблем несовершеннолетних.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Состав Комиссии в качественном и количественном отношении отвечает требованиям законодательства и рекомендациям Республиканской комиссии по делам несовершеннолетних и защите их прав, способствует осуществлению межведомственного взаимодействия в вопросах профилактики </w:t>
      </w:r>
      <w:r w:rsidRPr="001A1A10">
        <w:rPr>
          <w:rFonts w:eastAsia="Calibri" w:cs="Times New Roman"/>
          <w:szCs w:val="28"/>
          <w:lang w:eastAsia="ru-RU"/>
        </w:rPr>
        <w:lastRenderedPageBreak/>
        <w:t>правонарушений, а также оказанию необходимой помощи, как несовершеннолетним, так и их семьям.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Заседания комиссии проводятся еженедельно, по четвергам согласно  утверждённому графику. 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Комиссия по делам несовершеннолетних и защите их прав  координирует деятельность работы межведомственного социально-реабилитационного  консилиума. За 9 месяцев 2020 года проведено 24 заседания МСРК, рассмотрено 183 семьи, в которых проживают 403 несовершеннолетних. За 9 месяцев 2020 года поставлено на межведомственный учет - 27  семей, 61- несовершеннолетних.  Снято с учета  25 - семей,  56  несовершеннолетних,  из них: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с положительной реабилитацией- 22  семьи (46 несовершеннолетних)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без достижения результата 3 семьи, 7 несовершеннолетних, из них: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На конец отчетного периода состоят на межведомственном учете по причинам:  </w:t>
      </w:r>
    </w:p>
    <w:p w:rsidR="001A1A10" w:rsidRPr="001A1A10" w:rsidRDefault="001A1A10" w:rsidP="001A1A10">
      <w:pPr>
        <w:ind w:firstLine="851"/>
        <w:contextualSpacing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«несовершеннолетние, родители (законные представители) которых уклоняются от воспитания детей или от защиты их прав и интересов в  связи со злоупотреблением алкогольными напитками» -14 семей (51%)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«несовершеннолетние, матери которых осуждены с отсрочкой исполнения приговора»-3 семьи (11%)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«несовершеннолетние содержащиеся в социально-реабилитационных центрах для несовершеннолетних, социальных приютах, специальных учебно-воспитательных и других учреждениях для несовершеннолетних, нуждающихся в социальной помощи и (или) реабилитации- 1 семья (4%</w:t>
      </w:r>
      <w:proofErr w:type="gramStart"/>
      <w:r w:rsidRPr="001A1A10">
        <w:rPr>
          <w:rFonts w:eastAsia="Calibri" w:cs="Times New Roman"/>
          <w:szCs w:val="28"/>
          <w:lang w:eastAsia="ru-RU"/>
        </w:rPr>
        <w:t xml:space="preserve"> )</w:t>
      </w:r>
      <w:proofErr w:type="gramEnd"/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«несовершеннолетние, родители (законные представители) которых уклоняются от воспитания детей или защиты их прав и интересов в связи со злоупотреблением  наркотическими  средствами, </w:t>
      </w:r>
      <w:proofErr w:type="spellStart"/>
      <w:r w:rsidRPr="001A1A10">
        <w:rPr>
          <w:rFonts w:eastAsia="Calibri" w:cs="Times New Roman"/>
          <w:szCs w:val="28"/>
          <w:lang w:eastAsia="ru-RU"/>
        </w:rPr>
        <w:t>психоактивными</w:t>
      </w:r>
      <w:proofErr w:type="spellEnd"/>
      <w:r w:rsidRPr="001A1A10">
        <w:rPr>
          <w:rFonts w:eastAsia="Calibri" w:cs="Times New Roman"/>
          <w:szCs w:val="28"/>
          <w:lang w:eastAsia="ru-RU"/>
        </w:rPr>
        <w:t xml:space="preserve">  веществами  -2 семьи (7%)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«несовершеннолетние, осужденные  за совершение  преступления небольшой  или средней тяжести и освобождённые судом от наказания с применением принудительных мер воспитательного воздействия - 1 семья (4%)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«несовершеннолетние, родители (законные представители) которых жестоко обращаются с ними: сексуальное насилие – 1 семья (4%). 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«несовершеннолетние, родители (законные представители) которых жестоко обращаются с ними: психоэмоциональное  насилие – 2 семьи (7%). 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«несовершеннолетние, употребляющие алкогольную и спиртосодержащую продукцию, пиво и напитки, изготавливаемые на его основе -1 семьи (4%)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«несовершеннолетние, осужденные к обязательным работам, исправительным работам или иным мерам наказания, не связанным с лишением свободы – 1 семья (4%). 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На постоянной основе ведётся мониторинг исполнения ответственными субъектами профилактики за мероприятия в планах ИПР семей. На заседаниях МСРК,  КДН и ЗП выносятся вопросы  включенности   субъектов системы </w:t>
      </w:r>
      <w:r w:rsidRPr="001A1A10">
        <w:rPr>
          <w:rFonts w:eastAsia="Calibri" w:cs="Times New Roman"/>
          <w:szCs w:val="28"/>
          <w:lang w:eastAsia="ru-RU"/>
        </w:rPr>
        <w:lastRenderedPageBreak/>
        <w:t>профилактики в реализацию  индивидуальных программ реабилитации несовершеннолетних, находящихся в СОП  и их семей.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В рамках профилактической работы специалистами КЦСОН «Исток-Башлангыч» с участием родителей и несовершеннолетних проводились мероприятия в рамках реализации национального проекта «Демография», информационного  и воспитательного характера по вопросам обеспечения защиты прав и свобод человека, противодействию терроризма, правовой грамотности, </w:t>
      </w:r>
      <w:proofErr w:type="spellStart"/>
      <w:r w:rsidRPr="001A1A10">
        <w:rPr>
          <w:rFonts w:eastAsia="Calibri" w:cs="Times New Roman"/>
          <w:szCs w:val="28"/>
          <w:lang w:eastAsia="ru-RU"/>
        </w:rPr>
        <w:t>медиазависимости</w:t>
      </w:r>
      <w:proofErr w:type="spellEnd"/>
      <w:r w:rsidRPr="001A1A10">
        <w:rPr>
          <w:rFonts w:eastAsia="Calibri" w:cs="Times New Roman"/>
          <w:szCs w:val="28"/>
          <w:lang w:eastAsia="ru-RU"/>
        </w:rPr>
        <w:t xml:space="preserve">, профилактических  мер </w:t>
      </w:r>
      <w:proofErr w:type="spellStart"/>
      <w:r w:rsidRPr="001A1A10">
        <w:rPr>
          <w:rFonts w:eastAsia="Calibri" w:cs="Times New Roman"/>
          <w:szCs w:val="28"/>
          <w:lang w:eastAsia="ru-RU"/>
        </w:rPr>
        <w:t>коронавирусной</w:t>
      </w:r>
      <w:proofErr w:type="spellEnd"/>
      <w:r w:rsidRPr="001A1A10">
        <w:rPr>
          <w:rFonts w:eastAsia="Calibri" w:cs="Times New Roman"/>
          <w:szCs w:val="28"/>
          <w:lang w:eastAsia="ru-RU"/>
        </w:rPr>
        <w:t xml:space="preserve"> инфекции.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За 11 месяцев 2020 года  проведено 39 заседаний, из них 9 расширенных.</w:t>
      </w:r>
    </w:p>
    <w:p w:rsidR="001A1A10" w:rsidRPr="001A1A10" w:rsidRDefault="001A1A10" w:rsidP="001A1A10">
      <w:pPr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Одним из приоритетных направлений работы комиссии является выявление и устранение причин, способствующих безнадзорности и правонарушениям несовершеннолетних. По каждому факту правонарушений принимаются меры по выявлению причин и условий, способствовавших его совершению, и вырабатываются соответствующие профилактические мероприятия.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Со всеми несовершеннолетними,  стоящими </w:t>
      </w:r>
      <w:r w:rsidRPr="001A1A1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на профилактическом учете в ПДН,</w:t>
      </w:r>
      <w:r w:rsidRPr="001A1A10">
        <w:rPr>
          <w:rFonts w:eastAsia="Calibri" w:cs="Times New Roman"/>
          <w:szCs w:val="28"/>
          <w:lang w:eastAsia="ru-RU"/>
        </w:rPr>
        <w:t xml:space="preserve"> проводится профилактическая работа по вопросам разъяснения основных положений Закона и недопущению повторных правонарушений.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Численность подросткового населения </w:t>
      </w:r>
      <w:proofErr w:type="gramStart"/>
      <w:r w:rsidRPr="001A1A10">
        <w:rPr>
          <w:rFonts w:eastAsia="Calibri" w:cs="Times New Roman"/>
          <w:szCs w:val="28"/>
          <w:lang w:eastAsia="ru-RU"/>
        </w:rPr>
        <w:t>в</w:t>
      </w:r>
      <w:proofErr w:type="gramEnd"/>
      <w:r w:rsidRPr="001A1A10">
        <w:rPr>
          <w:rFonts w:eastAsia="Calibri" w:cs="Times New Roman"/>
          <w:szCs w:val="28"/>
          <w:lang w:eastAsia="ru-RU"/>
        </w:rPr>
        <w:t xml:space="preserve"> </w:t>
      </w:r>
      <w:proofErr w:type="gramStart"/>
      <w:r w:rsidRPr="001A1A10">
        <w:rPr>
          <w:rFonts w:eastAsia="Calibri" w:cs="Times New Roman"/>
          <w:szCs w:val="28"/>
          <w:lang w:eastAsia="ru-RU"/>
        </w:rPr>
        <w:t>Лениногорском</w:t>
      </w:r>
      <w:proofErr w:type="gramEnd"/>
      <w:r w:rsidRPr="001A1A10">
        <w:rPr>
          <w:rFonts w:eastAsia="Calibri" w:cs="Times New Roman"/>
          <w:szCs w:val="28"/>
          <w:lang w:eastAsia="ru-RU"/>
        </w:rPr>
        <w:t xml:space="preserve"> муниципальном районе составляет 17087 человек, из них: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от 0 до 6 лет (включительно) - 6752,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от 7 до 14 лет (включительно) -7.434,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от 15 до 18 лет (без учёта 18-летних)- 2.901. 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color w:val="000000"/>
          <w:szCs w:val="28"/>
          <w:shd w:val="clear" w:color="auto" w:fill="FFFFFF"/>
          <w:lang w:eastAsia="ru-RU"/>
        </w:rPr>
      </w:pPr>
      <w:r w:rsidRPr="001A1A10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По состоянию на 01 декабря 2020 года на профилактическом учете в ПДН состоит 86 несовершеннолетних. Из них: за совершение преступлений - 6, за совершение общественно опасного деяния до достижения возраста привлечения к уголовной ответственности - 4, за совершение административных правонарушений до достижения возраста привлечения к административной ответственности - 24, за употребление спиртосодержащей продукции - 54, за совершение антиобщественного действия -0.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Большинство из правонарушителей воспитываются в семьях, где они постоянно сталкиваются с резко отрицательными аспектами поведения родителей: не занятость несовершеннолетних, употребление спиртных напитков; круг общения (общение с лицами старше своего возраста, при этом состоящие на учетах в ОВД). 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С целью предотвращения роста преступности среди молодежи, необходимо всем субъектам профилактики отрабатывать меры профилактической работы в своём направлении. </w:t>
      </w:r>
      <w:proofErr w:type="gramStart"/>
      <w:r w:rsidRPr="001A1A10">
        <w:rPr>
          <w:rFonts w:eastAsia="Calibri" w:cs="Times New Roman"/>
          <w:szCs w:val="28"/>
          <w:lang w:eastAsia="ru-RU"/>
        </w:rPr>
        <w:t xml:space="preserve">Необходимо тесное взаимодействие между службами: по оказанию психологической, социальной, юридической помощи, контролю и проведению профилактической работы, организации их дополнительного  и  летнего досуга, вовлечение в различные молодежные формирования, проведению мониторинга их социальных сетей интернет, проведению разъяснительной работы, ранняя профилактика, с целью предотвращения совершения повторных общественно-опасных деяний и </w:t>
      </w:r>
      <w:r w:rsidRPr="001A1A10">
        <w:rPr>
          <w:rFonts w:eastAsia="Calibri" w:cs="Times New Roman"/>
          <w:szCs w:val="28"/>
          <w:lang w:eastAsia="ru-RU"/>
        </w:rPr>
        <w:lastRenderedPageBreak/>
        <w:t>преступлений использование профилактики в виде направления подростков в ЦВСНП и СУВУ ЗТ,  организация совместных</w:t>
      </w:r>
      <w:proofErr w:type="gramEnd"/>
      <w:r w:rsidRPr="001A1A10">
        <w:rPr>
          <w:rFonts w:eastAsia="Calibri" w:cs="Times New Roman"/>
          <w:szCs w:val="28"/>
          <w:lang w:eastAsia="ru-RU"/>
        </w:rPr>
        <w:t xml:space="preserve"> рейдов по проверке мест скопления молодежи и проверке лиц, состоящих на учете в ПДН и социальной защите. 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Сотрудниками полиции ведется работа по реализации Закона Республики Татарстан от 14.10.2010 года № 71-ЗРТ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За прошедший период 2020 года проведено 35 рейдов, составлено  58 протоколов. За период 2019 г. проведено 33 рейдов, составлено 80 протоколов.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В настоящее время на профилактическом учете ОПДН ОМВД России по Лениногорскому району состоят 3 группы антиобщественной направленности (АППГ-2), с участием 7 несовершеннолетних, 1 взрослого,  заведено УНД №1/20 от 16.03.2020 г., УНД № 2/2020 от 16.07.2020 г., УНД № 03/2020 от 07.09.2020. </w:t>
      </w:r>
      <w:r w:rsidRPr="001A1A10">
        <w:rPr>
          <w:rFonts w:eastAsia="Times New Roman" w:cs="Times New Roman"/>
          <w:bCs/>
          <w:szCs w:val="28"/>
          <w:lang w:eastAsia="ru-RU"/>
        </w:rPr>
        <w:t>Проводится комплекс мероприятий по разобщению данных группы несовершеннолетних.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В рамках реализации Закона Республики Татарстан от 21.01.2009 года №7-ЗРТ «Об общественных воспитателях несовершеннолетних» за несовершеннолетними, совершившими определенные правонарушени</w:t>
      </w:r>
      <w:proofErr w:type="gramStart"/>
      <w:r w:rsidRPr="001A1A10">
        <w:rPr>
          <w:rFonts w:eastAsia="Calibri" w:cs="Times New Roman"/>
          <w:szCs w:val="28"/>
          <w:lang w:eastAsia="ru-RU"/>
        </w:rPr>
        <w:t>я(</w:t>
      </w:r>
      <w:proofErr w:type="gramEnd"/>
      <w:r w:rsidRPr="001A1A10">
        <w:rPr>
          <w:rFonts w:eastAsia="Calibri" w:cs="Times New Roman"/>
          <w:szCs w:val="28"/>
          <w:lang w:eastAsia="ru-RU"/>
        </w:rPr>
        <w:t>распитие спиртных напитков, мелкое хулиганство и др.), закреплены общественные воспитатели, работа которых регулярно заслушивается на заседаниях Комиссии.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По состоянию на 01.12.2020 г. всего закреплено 47 общественных воспитателей.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Из них: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ОМВД -14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Глава СП -4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УО – 22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УДМС – 3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Организации, предприятия города – 4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Продолжается работа по привлечению к данной деятельности представителей правоохранительных органов, органов здравоохранения, депутатов, руководителей органов местного самоуправления, учреждений и предприятий, представителей общественности. При закреплении общественных воспитателей с каждым проводится индивидуальное собеседование с привлечением психологов центра «Логос», проводится методическое обучение по разработке индивидуальной программы реабилитации несовершеннолетнего, вручаются дневники общественного воспитателя. 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На  30.11.2020 на профилактическом учёте у детского нарколога, без признаков зависимости, состоит -50 несовершеннолетних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Со всеми несовершеннолетними проводятся занятия, профилактические беседы: «О токсическом воздействии алкоголя и наркотиков на организм человека», «Медицинские и социальные последствия от употребления спиртосодержащей продукции и наркотических веществ», консультации, </w:t>
      </w:r>
      <w:r w:rsidRPr="001A1A10">
        <w:rPr>
          <w:rFonts w:eastAsia="Calibri" w:cs="Times New Roman"/>
          <w:szCs w:val="28"/>
          <w:lang w:eastAsia="ru-RU"/>
        </w:rPr>
        <w:lastRenderedPageBreak/>
        <w:t>направленные   на пропаганду здорового образа жизни и предупреждение рецидивов употребления алкогольной продукции и наркотических средств.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Проводятся уроки </w:t>
      </w:r>
      <w:proofErr w:type="spellStart"/>
      <w:r w:rsidRPr="001A1A10">
        <w:rPr>
          <w:rFonts w:eastAsia="Calibri" w:cs="Times New Roman"/>
          <w:szCs w:val="28"/>
          <w:lang w:eastAsia="ru-RU"/>
        </w:rPr>
        <w:t>собриологии</w:t>
      </w:r>
      <w:proofErr w:type="spellEnd"/>
      <w:r w:rsidRPr="001A1A10">
        <w:rPr>
          <w:rFonts w:eastAsia="Calibri" w:cs="Times New Roman"/>
          <w:szCs w:val="28"/>
          <w:lang w:eastAsia="ru-RU"/>
        </w:rPr>
        <w:t xml:space="preserve"> с просмотром фильмов по проекту «Общее дело». 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Работа по профилактике употребления ПАВ в общеобразовательных учреждениях организуется путём реализации программ: «Профилактика правонарушений среди несовершеннолетних», антинаркотической программы «Путь к успеху», программы коррекционной работы для учащихся 1-11 классов, методик, направленных на формирование здорового образа жизни несовершеннолетних. В каждой школе имеется совместный план работы с  ОМВД, ОГИБДД, ФАП. Успешно работают программы «Основы лидерства», республиканский антинаркотический проект «</w:t>
      </w:r>
      <w:proofErr w:type="spellStart"/>
      <w:proofErr w:type="gramStart"/>
      <w:r w:rsidRPr="001A1A10">
        <w:rPr>
          <w:rFonts w:eastAsia="Calibri" w:cs="Times New Roman"/>
          <w:szCs w:val="28"/>
          <w:lang w:eastAsia="ru-RU"/>
        </w:rPr>
        <w:t>SaMoS</w:t>
      </w:r>
      <w:proofErr w:type="gramEnd"/>
      <w:r w:rsidRPr="001A1A10">
        <w:rPr>
          <w:rFonts w:eastAsia="Calibri" w:cs="Times New Roman"/>
          <w:szCs w:val="28"/>
          <w:lang w:eastAsia="ru-RU"/>
        </w:rPr>
        <w:t>тоятельные</w:t>
      </w:r>
      <w:proofErr w:type="spellEnd"/>
      <w:r w:rsidRPr="001A1A10">
        <w:rPr>
          <w:rFonts w:eastAsia="Calibri" w:cs="Times New Roman"/>
          <w:szCs w:val="28"/>
          <w:lang w:eastAsia="ru-RU"/>
        </w:rPr>
        <w:t xml:space="preserve"> дети». На базе ГАПОУ «ЛПК»  реализован проект с несовершеннолетними группы особого внимания «Выход из круга!».     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За 10 месяцев 2020 года через  детский стационар ГАУЗ «ЛЦРБ»  зафиксировано -  49 обращений по факту несчастных случаев с детьми, из них: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падение с высоты 4  случая, 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ДТП- 8, 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>иное - 37.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Calibri" w:cs="Times New Roman"/>
          <w:szCs w:val="28"/>
          <w:lang w:eastAsia="ru-RU"/>
        </w:rPr>
      </w:pPr>
      <w:r w:rsidRPr="001A1A10">
        <w:rPr>
          <w:rFonts w:eastAsia="Calibri" w:cs="Times New Roman"/>
          <w:szCs w:val="28"/>
          <w:lang w:eastAsia="ru-RU"/>
        </w:rPr>
        <w:t xml:space="preserve"> Медицинским персоналом детской поликлиники ГАУЗ «Лениногорская ЦРБ» проводится   работа по предупреждению детского травматизма, падения с высоты, ЗОЖ.  Выпущены наглядные материалы, и размещены на видных местах внутренних помещений поликлиники. На постоянной основе проводят беседы с родителями на темы: «Безопасное окно», «Не оставляйте детей дошкольного возраста без присмотра», «Один дома»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При формировании региональной политики в сфере защиты прав детей</w:t>
      </w:r>
      <w:r w:rsidRPr="001A1A10">
        <w:rPr>
          <w:rFonts w:eastAsia="Times New Roman" w:cs="Times New Roman"/>
          <w:i/>
          <w:spacing w:val="-4"/>
          <w:szCs w:val="28"/>
          <w:lang w:eastAsia="ru-RU"/>
        </w:rPr>
        <w:t xml:space="preserve"> </w:t>
      </w:r>
      <w:r w:rsidRPr="001A1A10">
        <w:rPr>
          <w:rFonts w:eastAsia="Times New Roman" w:cs="Times New Roman"/>
          <w:spacing w:val="-4"/>
          <w:szCs w:val="28"/>
          <w:lang w:eastAsia="ru-RU"/>
        </w:rPr>
        <w:t>главным приоритетом деятельности органов исполнительной государственной власти области является профилактическая работа по предупреждению детского и семейного неблагополучия, безнадзорности и правонарушений несовершеннолетних. Совершенствование подходов в решении данных вопросов нашло отражение в принятии программ, которые обеспечивают достаточно высокий уровень межведомственной координации, являются действенным инструментом реализации мер по предупреждению детского и семейного неблагополучия, безнадзорности и правонарушений.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Серьёзной и значимой проблемой стало злоупотребление продуктами информационно-коммуникационных технологий и их использование для совершения преступлений против детей, которые особенно уязвимы </w:t>
      </w:r>
      <w:r w:rsidRPr="001A1A10">
        <w:rPr>
          <w:rFonts w:eastAsia="Times New Roman" w:cs="Times New Roman"/>
          <w:spacing w:val="-4"/>
          <w:szCs w:val="28"/>
          <w:lang w:eastAsia="ru-RU"/>
        </w:rPr>
        <w:br/>
        <w:t>в условиях интенсивного развития новых информационных технологий (Интернета, мобильной и иных видов электронной связи, цифрового вещания), доступности СМИ, распространения информационно-телекоммуникационных сетей общего пользования, интенсивного оборота рекламной продукции, электронных и компьютерных игр, кино-, виде</w:t>
      </w:r>
      <w:proofErr w:type="gramStart"/>
      <w:r w:rsidRPr="001A1A10">
        <w:rPr>
          <w:rFonts w:eastAsia="Times New Roman" w:cs="Times New Roman"/>
          <w:spacing w:val="-4"/>
          <w:szCs w:val="28"/>
          <w:lang w:eastAsia="ru-RU"/>
        </w:rPr>
        <w:t>о-</w:t>
      </w:r>
      <w:proofErr w:type="gramEnd"/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, иных аудиовизуальных сообщений и материалов. Их бесконтрольное использование нередко оказывает на детей психотравмирующее и растлевающее влияние, побуждает </w:t>
      </w:r>
      <w:r w:rsidRPr="001A1A10">
        <w:rPr>
          <w:rFonts w:eastAsia="Times New Roman" w:cs="Times New Roman"/>
          <w:spacing w:val="-4"/>
          <w:szCs w:val="28"/>
          <w:lang w:eastAsia="ru-RU"/>
        </w:rPr>
        <w:br/>
        <w:t xml:space="preserve">их к рискованному, агрессивному, жестокому, антиобщественному поведению, </w:t>
      </w:r>
      <w:r w:rsidRPr="001A1A10">
        <w:rPr>
          <w:rFonts w:eastAsia="Times New Roman" w:cs="Times New Roman"/>
          <w:spacing w:val="-4"/>
          <w:szCs w:val="28"/>
          <w:lang w:eastAsia="ru-RU"/>
        </w:rPr>
        <w:lastRenderedPageBreak/>
        <w:t>облегчает их вовлечение в криминальную деятельность, развратные действия, азартные игры, тоталитарные секты и иные деструктивные организации.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Насыщенность современной информационно-образовательной среды деструктивной, вредной для развития детей информацией в последние годы приобретает серьезные масштабы. В связи с этим был принят </w:t>
      </w:r>
      <w:hyperlink r:id="rId11" w:history="1">
        <w:r w:rsidRPr="001A1A10">
          <w:rPr>
            <w:rFonts w:eastAsia="Times New Roman" w:cs="Times New Roman"/>
            <w:spacing w:val="-4"/>
            <w:szCs w:val="28"/>
            <w:lang w:eastAsia="ru-RU"/>
          </w:rPr>
          <w:t>Закон</w:t>
        </w:r>
      </w:hyperlink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 Российской Федерации от 29 декабря 2010 г. № 436-ФЗ «О защите детей от информации, причиняющей вред их здоровью и развитию».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Одними из основных причин формирования противоправного поведения подростков являются социальные факторы. К их числу относятся семейное неблагополучие, социальное сиротство детей, невыполнение родителями обязанностей по воспитанию детей, жестокое обращение с детьми, бродяжничество, вовлечение подростков в преступную деятельность </w:t>
      </w:r>
      <w:r w:rsidRPr="001A1A10">
        <w:rPr>
          <w:rFonts w:eastAsia="Times New Roman" w:cs="Times New Roman"/>
          <w:spacing w:val="-4"/>
          <w:szCs w:val="28"/>
          <w:lang w:eastAsia="ru-RU"/>
        </w:rPr>
        <w:br/>
        <w:t>со стороны взрослых лиц.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Кроме того, к числу причин сохранения достаточно высокого уровня правонарушений и преступлений несовершеннолетних можно отнести следующие: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недостаточный уровень взаимодействия субъектов профилактики при организации межведомственного сопровождения несовершеннолетних, имеющих проблемы с законом, совершивших правонарушения и преступления, отбывших наказание;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рост ранней алкоголизации подростков, который ведет к увеличению числа преступлений, совершенных несовершеннолетними в состоянии алкогольного опьянения;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жестокость в подростковой среде.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Таким образом, особый акцент в организации межведомственной профилактической работы необходимо сделать на внедрении новых социально-педагогических и психологических реабилитационных технологий сопровождения несовершеннолетних, склонных к асоциальному поведению или вступивших </w:t>
      </w:r>
      <w:r w:rsidRPr="001A1A10">
        <w:rPr>
          <w:rFonts w:eastAsia="Times New Roman" w:cs="Times New Roman"/>
          <w:spacing w:val="-4"/>
          <w:szCs w:val="28"/>
          <w:lang w:eastAsia="ru-RU"/>
        </w:rPr>
        <w:br/>
        <w:t xml:space="preserve">в конфликт с законом, а также технологий и методик работы с семьями, </w:t>
      </w:r>
      <w:r w:rsidRPr="001A1A10">
        <w:rPr>
          <w:rFonts w:eastAsia="Times New Roman" w:cs="Times New Roman"/>
          <w:spacing w:val="-4"/>
          <w:szCs w:val="28"/>
          <w:lang w:eastAsia="ru-RU"/>
        </w:rPr>
        <w:br/>
        <w:t>в которых несовершеннолетние склонны или совершают правонарушения.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Обеспечение непрерывности социального сопровождения – задача межведомственная и требует решения вопросов, связанных с координацией деятельности различных органов и учреждений, информационного сопровождения как самих несовершеннолетних и членов их семей, так </w:t>
      </w:r>
      <w:r w:rsidRPr="001A1A10">
        <w:rPr>
          <w:rFonts w:eastAsia="Times New Roman" w:cs="Times New Roman"/>
          <w:spacing w:val="-4"/>
          <w:szCs w:val="28"/>
          <w:lang w:eastAsia="ru-RU"/>
        </w:rPr>
        <w:br/>
        <w:t>и специалистов, которые занимаются их проблемами, на всех этапах реабилитационного процесса.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6"/>
          <w:szCs w:val="28"/>
          <w:lang w:eastAsia="ru-RU"/>
        </w:rPr>
        <w:t>Несмотря на то, что осуществляется комплекс мер по организации преемственности в индивидуальной профилактической работе с несовершеннолетними и их семьями, тем не менее, недостаточно развита инфраструктура социально-реабилитационного пространства для несовершеннолетних, склонных к асоциальному поведению или вступивших в конфликт с законом. Необходимо принятие дополнительных мер по решению проблем организации непрерывного межведомственного сопровождения, социальной адаптации и реабилитации данных категорий несовершеннолетних</w:t>
      </w:r>
      <w:r w:rsidRPr="001A1A10">
        <w:rPr>
          <w:rFonts w:eastAsia="Times New Roman" w:cs="Times New Roman"/>
          <w:spacing w:val="-4"/>
          <w:szCs w:val="28"/>
          <w:lang w:eastAsia="ru-RU"/>
        </w:rPr>
        <w:t>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lastRenderedPageBreak/>
        <w:t xml:space="preserve">Основополагающий принцип Подпрограммы – это формирование правильных жизненных устремлений – вектора будущего несовершеннолетних, а особенно подростков, склонных к асоциальному поведению или вступивших в конфликт </w:t>
      </w:r>
      <w:r w:rsidRPr="001A1A10">
        <w:rPr>
          <w:rFonts w:eastAsia="Times New Roman" w:cs="Times New Roman"/>
          <w:spacing w:val="-4"/>
          <w:szCs w:val="28"/>
          <w:lang w:eastAsia="ru-RU"/>
        </w:rPr>
        <w:br/>
        <w:t>с законом.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Использование программно-целевого метода решения проблемы организации комплексной профилактической работы и сопровождения несовершеннолетних, склонных к асоциальному поведению или вступивших в конфликт с законом, и их семей обусловлено необходимостью: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координации взаимодействия различных органов и учреждений социальной сферы;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разработки и реализации межведомственного комплекса мероприятий, направленного на достижение единой цели;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оптимизации использования бюджетных средств и направления их на решение наиболее важных направлений социальной политики;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решения задач по созданию условий для социализации и реабилитации несовершеннолетних, склонных к асоциальному поведению или вступивших в конфликт с законом.</w:t>
      </w:r>
    </w:p>
    <w:p w:rsidR="001A1A10" w:rsidRPr="001A1A10" w:rsidRDefault="001A1A10" w:rsidP="001A1A10">
      <w:pPr>
        <w:pBdr>
          <w:top w:val="single" w:sz="4" w:space="1" w:color="FFFFFF"/>
          <w:left w:val="single" w:sz="4" w:space="1" w:color="FFFFFF"/>
          <w:bottom w:val="single" w:sz="4" w:space="31" w:color="FFFFFF"/>
          <w:right w:val="single" w:sz="4" w:space="4" w:color="FFFFFF"/>
        </w:pBdr>
        <w:tabs>
          <w:tab w:val="num" w:pos="8222"/>
        </w:tabs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В рамках реализации Подпрограммы предусмотрен мониторинг эффективности мероприятий на основе разработанных индикаторов, необходимых для отслеживания промежуточных результатов и проведения необходимой корректировки мероприятий Подпрограммы.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b/>
          <w:spacing w:val="-4"/>
          <w:szCs w:val="28"/>
          <w:lang w:eastAsia="ru-RU"/>
        </w:rPr>
      </w:pPr>
      <w:r w:rsidRPr="001A1A10">
        <w:rPr>
          <w:rFonts w:eastAsia="Times New Roman" w:cs="Times New Roman"/>
          <w:b/>
          <w:spacing w:val="-4"/>
          <w:szCs w:val="28"/>
          <w:lang w:eastAsia="ru-RU"/>
        </w:rPr>
        <w:t xml:space="preserve">3. Цели, задачи, целевые показатели, сроки реализации 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spacing w:after="240"/>
        <w:ind w:firstLine="0"/>
        <w:jc w:val="center"/>
        <w:outlineLvl w:val="1"/>
        <w:rPr>
          <w:rFonts w:eastAsia="Times New Roman" w:cs="Times New Roman"/>
          <w:b/>
          <w:spacing w:val="-4"/>
          <w:szCs w:val="28"/>
          <w:lang w:eastAsia="ru-RU"/>
        </w:rPr>
      </w:pPr>
      <w:r w:rsidRPr="001A1A10">
        <w:rPr>
          <w:rFonts w:eastAsia="Times New Roman" w:cs="Times New Roman"/>
          <w:b/>
          <w:spacing w:val="-4"/>
          <w:szCs w:val="28"/>
          <w:lang w:eastAsia="ru-RU"/>
        </w:rPr>
        <w:t xml:space="preserve">Подпрограммы </w:t>
      </w:r>
    </w:p>
    <w:p w:rsidR="001A1A10" w:rsidRPr="001A1A10" w:rsidRDefault="001A1A10" w:rsidP="001A1A10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Целью Подпрограммы является повышение эффективности системы профилактики безнадзорности, правонарушений и преступлений несовершеннолетних, а также защиты их прав </w:t>
      </w:r>
      <w:proofErr w:type="gramStart"/>
      <w:r w:rsidRPr="001A1A10">
        <w:rPr>
          <w:rFonts w:eastAsia="Times New Roman" w:cs="Times New Roman"/>
          <w:spacing w:val="-4"/>
          <w:szCs w:val="28"/>
          <w:lang w:eastAsia="ru-RU"/>
        </w:rPr>
        <w:t>в</w:t>
      </w:r>
      <w:proofErr w:type="gramEnd"/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 </w:t>
      </w:r>
      <w:proofErr w:type="gramStart"/>
      <w:r w:rsidRPr="001A1A10">
        <w:rPr>
          <w:rFonts w:eastAsia="Times New Roman" w:cs="Times New Roman"/>
          <w:spacing w:val="-4"/>
          <w:szCs w:val="28"/>
          <w:lang w:eastAsia="ru-RU"/>
        </w:rPr>
        <w:t>Лениногорском</w:t>
      </w:r>
      <w:proofErr w:type="gramEnd"/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 муниципальном районе.</w:t>
      </w:r>
    </w:p>
    <w:p w:rsidR="001A1A10" w:rsidRPr="001A1A10" w:rsidRDefault="001A1A10" w:rsidP="001A1A10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Для достижения поставленной цели необходимо решение следующих задач:</w:t>
      </w:r>
    </w:p>
    <w:p w:rsidR="001A1A10" w:rsidRPr="001A1A10" w:rsidRDefault="001A1A10" w:rsidP="001A1A10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1)</w:t>
      </w:r>
      <w:r w:rsidRPr="001A1A10">
        <w:rPr>
          <w:rFonts w:eastAsia="Times New Roman" w:cs="Times New Roman"/>
          <w:i/>
          <w:spacing w:val="-4"/>
          <w:szCs w:val="28"/>
          <w:lang w:eastAsia="ru-RU"/>
        </w:rPr>
        <w:t> </w:t>
      </w: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снижение уровня преступности, безнадзорности и правонарушений несовершеннолетних </w:t>
      </w:r>
      <w:proofErr w:type="gramStart"/>
      <w:r w:rsidRPr="001A1A10">
        <w:rPr>
          <w:rFonts w:eastAsia="Times New Roman" w:cs="Times New Roman"/>
          <w:spacing w:val="-4"/>
          <w:szCs w:val="28"/>
          <w:lang w:eastAsia="ru-RU"/>
        </w:rPr>
        <w:t>в</w:t>
      </w:r>
      <w:proofErr w:type="gramEnd"/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 </w:t>
      </w:r>
      <w:proofErr w:type="gramStart"/>
      <w:r w:rsidRPr="001A1A10">
        <w:rPr>
          <w:rFonts w:eastAsia="Times New Roman" w:cs="Times New Roman"/>
          <w:spacing w:val="-4"/>
          <w:szCs w:val="28"/>
          <w:lang w:eastAsia="ru-RU"/>
        </w:rPr>
        <w:t>Лениногорском</w:t>
      </w:r>
      <w:proofErr w:type="gramEnd"/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 муниципальном районе;</w:t>
      </w:r>
    </w:p>
    <w:p w:rsidR="001A1A10" w:rsidRPr="001A1A10" w:rsidRDefault="001A1A10" w:rsidP="001A1A10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2)развитие инфраструктуры системы профилактики безнадзорности и правонарушений несовершеннолетних, социальной реабилитации несовершеннолетних, вступивших в конфликт с законом;</w:t>
      </w:r>
    </w:p>
    <w:p w:rsidR="001A1A10" w:rsidRPr="001A1A10" w:rsidRDefault="001A1A10" w:rsidP="001A1A10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3) организация межведомственного сопровождения несовершеннолетних, склонных к асоциальному поведению или вступивших в конфликт с законом, а также несовершеннолетних, освобождающихся из специальных учебно-воспитательных учреждений закрытого типа и воспитательных колоний;</w:t>
      </w:r>
    </w:p>
    <w:p w:rsidR="001A1A10" w:rsidRPr="001A1A10" w:rsidRDefault="001A1A10" w:rsidP="001A1A10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4) создание системы методического обеспечения и повышения профессиональной компетентности различных категорий специалистов, работающих с несовершеннолетними, вступившими в конфликт с законом;</w:t>
      </w:r>
    </w:p>
    <w:p w:rsidR="001A1A10" w:rsidRPr="001A1A10" w:rsidRDefault="001A1A10" w:rsidP="001A1A10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lastRenderedPageBreak/>
        <w:t xml:space="preserve">5)создание организационно-правовых механизмов защиты детей от распространения информации, причиняющей вред их здоровью и развитию. 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В результате реализации Подпрограммы будет обеспечено достижение следующих результатов:</w:t>
      </w:r>
    </w:p>
    <w:p w:rsidR="001A1A10" w:rsidRPr="001A1A10" w:rsidRDefault="001A1A10" w:rsidP="001A1A10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zCs w:val="28"/>
          <w:lang w:eastAsia="ru-RU"/>
        </w:rPr>
        <w:t>1)</w:t>
      </w:r>
      <w:r w:rsidRPr="001A1A10">
        <w:rPr>
          <w:rFonts w:eastAsia="Times New Roman" w:cs="Times New Roman"/>
          <w:i/>
          <w:spacing w:val="-4"/>
          <w:szCs w:val="28"/>
          <w:lang w:eastAsia="ru-RU"/>
        </w:rPr>
        <w:t> </w:t>
      </w: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 снижение уровня преступности,  безнадзорности несовершеннолетних </w:t>
      </w:r>
      <w:proofErr w:type="gramStart"/>
      <w:r w:rsidRPr="001A1A10">
        <w:rPr>
          <w:rFonts w:eastAsia="Times New Roman" w:cs="Times New Roman"/>
          <w:spacing w:val="-4"/>
          <w:szCs w:val="28"/>
          <w:lang w:eastAsia="ru-RU"/>
        </w:rPr>
        <w:t>в</w:t>
      </w:r>
      <w:proofErr w:type="gramEnd"/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 </w:t>
      </w:r>
      <w:proofErr w:type="gramStart"/>
      <w:r w:rsidRPr="001A1A10">
        <w:rPr>
          <w:rFonts w:eastAsia="Times New Roman" w:cs="Times New Roman"/>
          <w:spacing w:val="-4"/>
          <w:szCs w:val="28"/>
          <w:lang w:eastAsia="ru-RU"/>
        </w:rPr>
        <w:t>Лениногорском</w:t>
      </w:r>
      <w:proofErr w:type="gramEnd"/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 муниципальном районе;</w:t>
      </w:r>
    </w:p>
    <w:p w:rsidR="001A1A10" w:rsidRPr="001A1A10" w:rsidRDefault="001A1A10" w:rsidP="001A1A10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2) уменьшение числа совершаемых правонарушений несовершеннолетними;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1A1A10">
        <w:rPr>
          <w:rFonts w:eastAsia="Times New Roman" w:cs="Times New Roman"/>
          <w:szCs w:val="28"/>
          <w:lang w:eastAsia="ru-RU"/>
        </w:rPr>
        <w:t>3) улучшение профилактики правонарушений среди несовершеннолетних;</w:t>
      </w:r>
    </w:p>
    <w:p w:rsidR="001A1A10" w:rsidRPr="001A1A10" w:rsidRDefault="001A1A10" w:rsidP="001A1A10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4) создание системы методического обеспечения и повышения профессиональной компетентности различных категорий специалистов, работающих с несовершеннолетними, вступившими в конфликт с законом;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zCs w:val="28"/>
          <w:lang w:eastAsia="ru-RU"/>
        </w:rPr>
        <w:t>5</w:t>
      </w:r>
      <w:r w:rsidRPr="001A1A10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Pr="001A1A10">
        <w:rPr>
          <w:rFonts w:ascii="Arial" w:eastAsia="Times New Roman" w:hAnsi="Arial" w:cs="Arial"/>
          <w:spacing w:val="-4"/>
          <w:sz w:val="20"/>
          <w:szCs w:val="20"/>
          <w:lang w:eastAsia="ru-RU"/>
        </w:rPr>
        <w:t xml:space="preserve"> </w:t>
      </w: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развитие инфраструктуры системы профилактики безнадзорности и правонарушений несовершеннолетних, социальной реабилитации несовершеннолетних, вступивших в конфликт с законом. 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Профилактика безнадзорности, правонарушений и преступлений несовершеннолетних, а также защита их прав является сложным и трудоемким процессом. Уровень и объем задач по профилактике преступлений и иных правонарушений, предусмотренные мероприятиями государственной Подпрограммы (подпрограммы), требуют решения на основе программно-целевого метода, рассчитанного на долгосрочный 4-летний период.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Программно-целевой метод позволит сконцентрироваться на решении назревших проблем, в указанные сроки комплексно решить задачи по профилактике безнадзорности, правонарушений и преступлений несовершеннолетних.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i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Сроки реализации Подпрограммы: 2021 </w:t>
      </w:r>
      <w:r w:rsidRPr="001A1A10">
        <w:rPr>
          <w:rFonts w:eastAsia="Times New Roman" w:cs="Times New Roman"/>
          <w:szCs w:val="28"/>
          <w:lang w:eastAsia="ru-RU"/>
        </w:rPr>
        <w:t>–</w:t>
      </w: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 2024 годы</w:t>
      </w:r>
      <w:r w:rsidRPr="001A1A10">
        <w:rPr>
          <w:rFonts w:eastAsia="Times New Roman" w:cs="Times New Roman"/>
          <w:i/>
          <w:spacing w:val="-4"/>
          <w:szCs w:val="28"/>
          <w:lang w:eastAsia="ru-RU"/>
        </w:rPr>
        <w:t>.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spacing w:val="-4"/>
          <w:szCs w:val="28"/>
          <w:lang w:eastAsia="ru-RU"/>
        </w:rPr>
      </w:pPr>
      <w:bookmarkStart w:id="2" w:name="Par299"/>
      <w:bookmarkEnd w:id="2"/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b/>
          <w:spacing w:val="-4"/>
          <w:szCs w:val="28"/>
          <w:lang w:eastAsia="ru-RU"/>
        </w:rPr>
      </w:pPr>
      <w:r w:rsidRPr="001A1A10">
        <w:rPr>
          <w:rFonts w:eastAsia="Times New Roman" w:cs="Times New Roman"/>
          <w:b/>
          <w:spacing w:val="-4"/>
          <w:szCs w:val="28"/>
          <w:lang w:eastAsia="ru-RU"/>
        </w:rPr>
        <w:t xml:space="preserve">4. </w:t>
      </w:r>
      <w:bookmarkStart w:id="3" w:name="Par304"/>
      <w:bookmarkEnd w:id="3"/>
      <w:r w:rsidRPr="001A1A10">
        <w:rPr>
          <w:rFonts w:eastAsia="Times New Roman" w:cs="Times New Roman"/>
          <w:b/>
          <w:spacing w:val="-4"/>
          <w:szCs w:val="28"/>
          <w:lang w:eastAsia="ru-RU"/>
        </w:rPr>
        <w:t>Характеристика и перечень программных мероприятий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spacing w:after="240"/>
        <w:ind w:firstLine="0"/>
        <w:jc w:val="center"/>
        <w:rPr>
          <w:rFonts w:eastAsia="Times New Roman" w:cs="Times New Roman"/>
          <w:b/>
          <w:spacing w:val="-4"/>
          <w:szCs w:val="28"/>
          <w:lang w:eastAsia="ru-RU"/>
        </w:rPr>
      </w:pPr>
      <w:r w:rsidRPr="001A1A10">
        <w:rPr>
          <w:rFonts w:eastAsia="Times New Roman" w:cs="Times New Roman"/>
          <w:b/>
          <w:spacing w:val="-4"/>
          <w:szCs w:val="28"/>
          <w:lang w:eastAsia="ru-RU"/>
        </w:rPr>
        <w:t xml:space="preserve">Комплекс программных мероприятий, направленных на достижение цели и решение задач Подпрограммы 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Мероприятия Подпрограммы взаимоувязаны по срокам, ресурсам и источникам финансового обеспечения.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В рамках Подпрограммы реализуются мероприятия:</w:t>
      </w:r>
    </w:p>
    <w:p w:rsidR="001A1A10" w:rsidRPr="001A1A10" w:rsidRDefault="001A1A10" w:rsidP="001A1A1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установление сотрудничества и тесной взаимосвязи с субъектами системы профилактики, молодёжными общественными организациями по вопросам профилактики правонарушений среди несовершеннолетних;</w:t>
      </w:r>
    </w:p>
    <w:p w:rsidR="001A1A10" w:rsidRPr="001A1A10" w:rsidRDefault="001A1A10" w:rsidP="001A1A1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проведение специальной курсовой подготовки для специалистов и руководителей образовательных учреждений и учреждений системы социальной защиты населения, осуществляющих профилактическую реабилитационную работу с несовершеннолетними, находящимися в социально опасном положении;</w:t>
      </w:r>
    </w:p>
    <w:p w:rsidR="001A1A10" w:rsidRPr="001A1A10" w:rsidRDefault="001A1A10" w:rsidP="001A1A10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организация досуга и летнего отдыха детей, находящихся в трудной жизненной ситуации.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851"/>
        <w:outlineLvl w:val="1"/>
        <w:rPr>
          <w:rFonts w:eastAsia="Times New Roman" w:cs="Times New Roman"/>
          <w:spacing w:val="-4"/>
          <w:szCs w:val="28"/>
          <w:lang w:eastAsia="ru-RU"/>
        </w:rPr>
      </w:pPr>
    </w:p>
    <w:p w:rsid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1A1A10">
        <w:rPr>
          <w:rFonts w:eastAsia="Times New Roman" w:cs="Times New Roman"/>
          <w:b/>
          <w:spacing w:val="-4"/>
          <w:szCs w:val="28"/>
          <w:lang w:eastAsia="ru-RU"/>
        </w:rPr>
        <w:lastRenderedPageBreak/>
        <w:t>5</w:t>
      </w:r>
      <w:r w:rsidRPr="001A1A10">
        <w:rPr>
          <w:rFonts w:eastAsia="Times New Roman" w:cs="Times New Roman"/>
          <w:b/>
          <w:szCs w:val="28"/>
          <w:lang w:eastAsia="ru-RU"/>
        </w:rPr>
        <w:t>.</w:t>
      </w:r>
      <w:r w:rsidRPr="001A1A10">
        <w:rPr>
          <w:rFonts w:eastAsia="Times New Roman" w:cs="Times New Roman"/>
          <w:szCs w:val="28"/>
          <w:lang w:eastAsia="ru-RU"/>
        </w:rPr>
        <w:t xml:space="preserve"> </w:t>
      </w:r>
      <w:r w:rsidRPr="001A1A10">
        <w:rPr>
          <w:rFonts w:eastAsia="Times New Roman" w:cs="Times New Roman"/>
          <w:b/>
          <w:szCs w:val="28"/>
          <w:lang w:eastAsia="ru-RU"/>
        </w:rPr>
        <w:t xml:space="preserve">Ресурсное обеспечение Подпрограммы 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Общий объем финансирования Подпрограммы в 2021– </w:t>
      </w:r>
      <w:r w:rsidRPr="001A1A10">
        <w:rPr>
          <w:rFonts w:eastAsia="Times New Roman" w:cs="Times New Roman"/>
          <w:spacing w:val="-4"/>
          <w:szCs w:val="28"/>
          <w:lang w:eastAsia="ru-RU"/>
        </w:rPr>
        <w:br/>
        <w:t xml:space="preserve">2024 годах </w:t>
      </w:r>
      <w:r w:rsidRPr="001A1A1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за счет текущих смет субъектов профилактики правонарушений Лениногорского муниципального района 2560,00 </w:t>
      </w:r>
      <w:proofErr w:type="spellStart"/>
      <w:r w:rsidRPr="001A1A10">
        <w:rPr>
          <w:rFonts w:eastAsia="Times New Roman" w:cs="Times New Roman"/>
          <w:color w:val="000000"/>
          <w:sz w:val="26"/>
          <w:szCs w:val="26"/>
          <w:lang w:eastAsia="ru-RU"/>
        </w:rPr>
        <w:t>тыс</w:t>
      </w:r>
      <w:proofErr w:type="gramStart"/>
      <w:r w:rsidRPr="001A1A10">
        <w:rPr>
          <w:rFonts w:eastAsia="Times New Roman" w:cs="Times New Roman"/>
          <w:color w:val="000000"/>
          <w:sz w:val="26"/>
          <w:szCs w:val="26"/>
          <w:lang w:eastAsia="ru-RU"/>
        </w:rPr>
        <w:t>.р</w:t>
      </w:r>
      <w:proofErr w:type="gramEnd"/>
      <w:r w:rsidRPr="001A1A10">
        <w:rPr>
          <w:rFonts w:eastAsia="Times New Roman" w:cs="Times New Roman"/>
          <w:color w:val="000000"/>
          <w:sz w:val="26"/>
          <w:szCs w:val="26"/>
          <w:lang w:eastAsia="ru-RU"/>
        </w:rPr>
        <w:t>уб</w:t>
      </w:r>
      <w:proofErr w:type="spellEnd"/>
      <w:r w:rsidRPr="001A1A10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Объёмы финансирования Подпрограммы носят прогнозный характер и подлежат ежегодному уточнению в установленном порядке при формировании проекта местного бюджета на соответствующий год, исходя из возможностей бюджетов местного и Республики Татарстан.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pacing w:val="-4"/>
          <w:szCs w:val="28"/>
          <w:lang w:eastAsia="ru-RU"/>
        </w:rPr>
      </w:pPr>
      <w:r w:rsidRPr="001A1A10">
        <w:rPr>
          <w:rFonts w:eastAsia="Times New Roman" w:cs="Times New Roman"/>
          <w:b/>
          <w:spacing w:val="-4"/>
          <w:szCs w:val="28"/>
          <w:lang w:eastAsia="ru-RU"/>
        </w:rPr>
        <w:t xml:space="preserve">6. Механизм реализации Подпрограммы 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1A1A10" w:rsidRPr="001A1A10" w:rsidRDefault="001A1A10" w:rsidP="001A1A1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Реализация Подпрограммы 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1A1A10" w:rsidRPr="001A1A10" w:rsidRDefault="001A1A10" w:rsidP="001A1A1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Финансирование мероприятий осуществляется из </w:t>
      </w:r>
      <w:r w:rsidRPr="001A1A1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A1A10">
        <w:rPr>
          <w:rFonts w:eastAsia="Times New Roman" w:cs="Times New Roman"/>
          <w:szCs w:val="28"/>
          <w:lang w:eastAsia="ru-RU"/>
        </w:rPr>
        <w:t>средств бюджета Лениногорского муниципального района.</w:t>
      </w:r>
      <w:r w:rsidRPr="001A1A1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A1A10">
        <w:rPr>
          <w:rFonts w:eastAsia="Times New Roman" w:cs="Times New Roman"/>
          <w:spacing w:val="-4"/>
          <w:szCs w:val="28"/>
          <w:lang w:eastAsia="ru-RU"/>
        </w:rPr>
        <w:t>Планирование, взаимодействие, координацию и общий контроль над исполнением Подпрограммы осуществляет Исполнительный комитет Лениногорского муниципального района.</w:t>
      </w:r>
    </w:p>
    <w:p w:rsidR="001A1A10" w:rsidRPr="001A1A10" w:rsidRDefault="001A1A10" w:rsidP="001A1A10">
      <w:pPr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1A1A10" w:rsidRDefault="001A1A10" w:rsidP="001A1A10">
      <w:pPr>
        <w:widowControl w:val="0"/>
        <w:tabs>
          <w:tab w:val="left" w:pos="1985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b/>
          <w:spacing w:val="-4"/>
          <w:szCs w:val="28"/>
          <w:lang w:eastAsia="ru-RU"/>
        </w:rPr>
      </w:pPr>
      <w:bookmarkStart w:id="4" w:name="Par334"/>
      <w:bookmarkEnd w:id="4"/>
      <w:r w:rsidRPr="001A1A10">
        <w:rPr>
          <w:rFonts w:eastAsia="Times New Roman" w:cs="Times New Roman"/>
          <w:b/>
          <w:spacing w:val="-4"/>
          <w:szCs w:val="28"/>
          <w:lang w:eastAsia="ru-RU"/>
        </w:rPr>
        <w:t xml:space="preserve">7. Оценка эффективности Подпрограммы </w:t>
      </w:r>
    </w:p>
    <w:p w:rsidR="001A1A10" w:rsidRPr="001A1A10" w:rsidRDefault="001A1A10" w:rsidP="001A1A10">
      <w:pPr>
        <w:widowControl w:val="0"/>
        <w:tabs>
          <w:tab w:val="left" w:pos="1985"/>
        </w:tabs>
        <w:autoSpaceDE w:val="0"/>
        <w:autoSpaceDN w:val="0"/>
        <w:adjustRightInd w:val="0"/>
        <w:ind w:firstLine="0"/>
        <w:jc w:val="center"/>
        <w:outlineLvl w:val="1"/>
        <w:rPr>
          <w:rFonts w:eastAsia="Times New Roman" w:cs="Times New Roman"/>
          <w:b/>
          <w:spacing w:val="-4"/>
          <w:szCs w:val="28"/>
          <w:lang w:eastAsia="ru-RU"/>
        </w:rPr>
      </w:pPr>
    </w:p>
    <w:p w:rsidR="001A1A10" w:rsidRPr="001A1A10" w:rsidRDefault="001A1A10" w:rsidP="001A1A10">
      <w:pPr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Оценка эффективности Подпрограммы осуществляется на основе методики, утверждаемой высшим исполнительным органом государственной власти субъекта Российской Федерации в составе нормативного правового акта, определяющего порядок формирования и реализации государственных программ субъекта Российской Федерации, либо в рамках Подпрограммы. </w:t>
      </w:r>
    </w:p>
    <w:p w:rsidR="001A1A10" w:rsidRPr="001A1A10" w:rsidRDefault="001A1A10" w:rsidP="001A1A10">
      <w:pPr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>При этом должны учитываться все аспекты, связанные с реализацией Подпрограммы, среди которых степень достижения установленных значений показателей, эффективность использования выделенных средств, выполнение запланированных мероприятий.</w:t>
      </w:r>
    </w:p>
    <w:p w:rsidR="001A1A10" w:rsidRPr="001A1A10" w:rsidRDefault="001A1A10" w:rsidP="001A1A10">
      <w:pPr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По совокупности оценки указанных составляющих формируется итоговый показатель, характеризующий эффективность реализации Подпрограммы. Также методикой устанавливаются критерии оценки степени эффективности реализации. </w:t>
      </w:r>
    </w:p>
    <w:p w:rsidR="001A1A10" w:rsidRPr="001A1A10" w:rsidRDefault="001A1A10" w:rsidP="001A1A10">
      <w:pPr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1A1A10">
        <w:rPr>
          <w:rFonts w:eastAsia="Times New Roman" w:cs="Times New Roman"/>
          <w:spacing w:val="-4"/>
          <w:szCs w:val="28"/>
          <w:lang w:eastAsia="ru-RU"/>
        </w:rPr>
        <w:t xml:space="preserve">На основе сравнения достигнутого значения показателя эффективности </w:t>
      </w:r>
      <w:r w:rsidRPr="001A1A10">
        <w:rPr>
          <w:rFonts w:eastAsia="Times New Roman" w:cs="Times New Roman"/>
          <w:spacing w:val="-4"/>
          <w:szCs w:val="28"/>
          <w:lang w:eastAsia="ru-RU"/>
        </w:rPr>
        <w:br/>
        <w:t>с установленными критериями делается вывод о степени эффективности реализации государственной Подпрограммы. Могут быть применены следующие градации степени эффективности: «высокая», «средняя», «удовлетворительная» или «неудовлетворительная».</w:t>
      </w:r>
    </w:p>
    <w:p w:rsidR="001A1A10" w:rsidRPr="001A1A10" w:rsidRDefault="001A1A10" w:rsidP="001A1A10">
      <w:pPr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1A1A10" w:rsidRPr="001A1A10" w:rsidRDefault="001A1A10" w:rsidP="001A1A10">
      <w:pPr>
        <w:autoSpaceDE w:val="0"/>
        <w:autoSpaceDN w:val="0"/>
        <w:adjustRightInd w:val="0"/>
        <w:jc w:val="center"/>
        <w:rPr>
          <w:rFonts w:eastAsia="Times New Roman" w:cs="Times New Roman"/>
          <w:spacing w:val="-4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_____________________________________________</w:t>
      </w:r>
    </w:p>
    <w:p w:rsidR="001A1A10" w:rsidRPr="001A1A10" w:rsidRDefault="001A1A10" w:rsidP="001A1A10">
      <w:pPr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1A1A10" w:rsidRPr="001A1A10" w:rsidRDefault="001A1A10" w:rsidP="001A1A10">
      <w:pPr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1A1A10" w:rsidRPr="001A1A10" w:rsidRDefault="001A1A10" w:rsidP="001A1A10">
      <w:pPr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1A1A10" w:rsidRPr="001A1A10" w:rsidRDefault="001A1A10" w:rsidP="001A1A10">
      <w:pPr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1A1A10" w:rsidRPr="001A1A10" w:rsidRDefault="001A1A10" w:rsidP="001A1A10">
      <w:pPr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1A1A10" w:rsidRDefault="001A1A10" w:rsidP="001A1A10">
      <w:pPr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  <w:sectPr w:rsidR="001A1A10" w:rsidSect="001A1A10">
          <w:headerReference w:type="default" r:id="rId12"/>
          <w:headerReference w:type="first" r:id="rId13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81"/>
        </w:sectPr>
      </w:pPr>
    </w:p>
    <w:p w:rsidR="001A1A10" w:rsidRPr="001A1A10" w:rsidRDefault="001A1A10" w:rsidP="001A1A10">
      <w:pPr>
        <w:autoSpaceDE w:val="0"/>
        <w:autoSpaceDN w:val="0"/>
        <w:adjustRightInd w:val="0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1A1A10" w:rsidRPr="001A1A10" w:rsidRDefault="001A1A10" w:rsidP="001A1A10">
      <w:pPr>
        <w:widowControl w:val="0"/>
        <w:spacing w:line="322" w:lineRule="exact"/>
        <w:ind w:left="300"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1A1A10">
        <w:rPr>
          <w:rFonts w:eastAsia="Times New Roman" w:cs="Times New Roman"/>
          <w:b/>
          <w:szCs w:val="28"/>
          <w:lang w:eastAsia="ru-RU"/>
        </w:rPr>
        <w:t>8. Программные мероприятия</w:t>
      </w:r>
    </w:p>
    <w:p w:rsidR="001A1A10" w:rsidRPr="001A1A10" w:rsidRDefault="001A1A10" w:rsidP="001A1A10">
      <w:pPr>
        <w:widowControl w:val="0"/>
        <w:spacing w:line="322" w:lineRule="exact"/>
        <w:ind w:left="300"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A1A10" w:rsidRPr="001A1A10" w:rsidRDefault="001A1A10" w:rsidP="001A1A10">
      <w:pPr>
        <w:widowControl w:val="0"/>
        <w:spacing w:line="322" w:lineRule="exact"/>
        <w:ind w:left="300" w:firstLine="0"/>
        <w:jc w:val="center"/>
        <w:rPr>
          <w:rFonts w:eastAsia="Times New Roman" w:cs="Times New Roman"/>
          <w:szCs w:val="28"/>
          <w:lang w:eastAsia="ru-RU"/>
        </w:rPr>
      </w:pPr>
      <w:r w:rsidRPr="001A1A10">
        <w:rPr>
          <w:rFonts w:eastAsia="Times New Roman" w:cs="Times New Roman"/>
          <w:szCs w:val="28"/>
          <w:lang w:eastAsia="ru-RU"/>
        </w:rPr>
        <w:t>Цель, задачи, индикаторы оценки результатов подпрограммы «Профилактика безнадзорности и правонарушений</w:t>
      </w:r>
      <w:r w:rsidRPr="001A1A10">
        <w:rPr>
          <w:rFonts w:eastAsia="Times New Roman" w:cs="Times New Roman"/>
          <w:szCs w:val="28"/>
          <w:lang w:eastAsia="ru-RU"/>
        </w:rPr>
        <w:br/>
        <w:t xml:space="preserve">несовершеннолетних </w:t>
      </w:r>
      <w:proofErr w:type="gramStart"/>
      <w:r w:rsidRPr="001A1A10">
        <w:rPr>
          <w:rFonts w:eastAsia="Times New Roman" w:cs="Times New Roman"/>
          <w:szCs w:val="28"/>
          <w:lang w:eastAsia="ru-RU"/>
        </w:rPr>
        <w:t>в</w:t>
      </w:r>
      <w:proofErr w:type="gramEnd"/>
      <w:r w:rsidRPr="001A1A10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1A1A10">
        <w:rPr>
          <w:rFonts w:eastAsia="Times New Roman" w:cs="Times New Roman"/>
          <w:szCs w:val="28"/>
          <w:lang w:eastAsia="ru-RU"/>
        </w:rPr>
        <w:t>Лениногорском</w:t>
      </w:r>
      <w:proofErr w:type="gramEnd"/>
      <w:r w:rsidRPr="001A1A10">
        <w:rPr>
          <w:rFonts w:eastAsia="Times New Roman" w:cs="Times New Roman"/>
          <w:szCs w:val="28"/>
          <w:lang w:eastAsia="ru-RU"/>
        </w:rPr>
        <w:t xml:space="preserve"> муниципальном районе Республики Татарстан на 2021 - 2024 годы»</w:t>
      </w:r>
    </w:p>
    <w:p w:rsidR="001A1A10" w:rsidRDefault="001A1A10" w:rsidP="001A1A10">
      <w:pPr>
        <w:widowControl w:val="0"/>
        <w:spacing w:line="322" w:lineRule="exact"/>
        <w:ind w:left="300" w:firstLine="0"/>
        <w:jc w:val="center"/>
        <w:rPr>
          <w:rFonts w:eastAsia="Times New Roman" w:cs="Times New Roman"/>
          <w:szCs w:val="28"/>
          <w:lang w:eastAsia="ru-RU"/>
        </w:rPr>
      </w:pPr>
      <w:r w:rsidRPr="001A1A10">
        <w:rPr>
          <w:rFonts w:eastAsia="Times New Roman" w:cs="Times New Roman"/>
          <w:szCs w:val="28"/>
          <w:lang w:eastAsia="ru-RU"/>
        </w:rPr>
        <w:t xml:space="preserve"> и финансирование по мероприятиям подпрограммы</w:t>
      </w:r>
    </w:p>
    <w:p w:rsidR="001A1A10" w:rsidRPr="001A1A10" w:rsidRDefault="001A1A10" w:rsidP="001A1A10">
      <w:pPr>
        <w:widowControl w:val="0"/>
        <w:spacing w:line="322" w:lineRule="exact"/>
        <w:ind w:left="300" w:firstLine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5877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1134"/>
        <w:gridCol w:w="2126"/>
        <w:gridCol w:w="1134"/>
        <w:gridCol w:w="709"/>
        <w:gridCol w:w="851"/>
        <w:gridCol w:w="850"/>
        <w:gridCol w:w="851"/>
        <w:gridCol w:w="850"/>
        <w:gridCol w:w="851"/>
        <w:gridCol w:w="1134"/>
      </w:tblGrid>
      <w:tr w:rsidR="001A1A10" w:rsidRPr="001A1A10" w:rsidTr="001A1A10">
        <w:trPr>
          <w:trHeight w:hRule="exact" w:val="1443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Наименование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1A1A10" w:rsidRPr="001A1A10" w:rsidRDefault="001A1A10" w:rsidP="001A1A10">
            <w:pPr>
              <w:widowControl w:val="0"/>
              <w:ind w:left="113" w:right="113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Сроки выпол</w:t>
            </w: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softHyphen/>
              <w:t>нения основ</w:t>
            </w: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softHyphen/>
              <w:t>ных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Индикаторы оцен</w:t>
            </w: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softHyphen/>
              <w:t>ки конечных ре</w:t>
            </w: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softHyphen/>
              <w:t>зультатов, единицы измерения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Значения индикаторов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Финансирование за счёт средств бюджета Республики Татар</w:t>
            </w: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softHyphen/>
              <w:t xml:space="preserve">стан, </w:t>
            </w:r>
            <w:proofErr w:type="spellStart"/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млн</w:t>
            </w:r>
            <w:proofErr w:type="gramStart"/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.р</w:t>
            </w:r>
            <w:proofErr w:type="gramEnd"/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ублей</w:t>
            </w:r>
            <w:proofErr w:type="spellEnd"/>
          </w:p>
        </w:tc>
      </w:tr>
      <w:tr w:rsidR="001A1A10" w:rsidRPr="001A1A10" w:rsidTr="001A1A10">
        <w:trPr>
          <w:trHeight w:hRule="exact" w:val="713"/>
          <w:tblHeader/>
        </w:trPr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b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2021</w:t>
            </w:r>
          </w:p>
          <w:p w:rsidR="001A1A10" w:rsidRPr="001A1A10" w:rsidRDefault="001A1A10" w:rsidP="001A1A10">
            <w:pPr>
              <w:widowControl w:val="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2022</w:t>
            </w:r>
          </w:p>
          <w:p w:rsidR="001A1A10" w:rsidRPr="001A1A10" w:rsidRDefault="001A1A10" w:rsidP="001A1A10">
            <w:pPr>
              <w:widowControl w:val="0"/>
              <w:spacing w:before="6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2023</w:t>
            </w:r>
          </w:p>
          <w:p w:rsidR="001A1A10" w:rsidRPr="001A1A10" w:rsidRDefault="001A1A10" w:rsidP="001A1A10">
            <w:pPr>
              <w:widowControl w:val="0"/>
              <w:spacing w:before="6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2024</w:t>
            </w:r>
          </w:p>
          <w:p w:rsidR="001A1A10" w:rsidRPr="001A1A10" w:rsidRDefault="001A1A10" w:rsidP="001A1A10">
            <w:pPr>
              <w:widowControl w:val="0"/>
              <w:spacing w:before="6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год</w:t>
            </w:r>
          </w:p>
          <w:p w:rsidR="001A1A10" w:rsidRPr="001A1A10" w:rsidRDefault="001A1A10" w:rsidP="001A1A10">
            <w:pPr>
              <w:widowControl w:val="0"/>
              <w:spacing w:before="6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2021</w:t>
            </w:r>
          </w:p>
          <w:p w:rsidR="001A1A10" w:rsidRPr="001A1A10" w:rsidRDefault="001A1A10" w:rsidP="001A1A10">
            <w:pPr>
              <w:widowControl w:val="0"/>
              <w:spacing w:before="6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2022</w:t>
            </w:r>
          </w:p>
          <w:p w:rsidR="001A1A10" w:rsidRPr="001A1A10" w:rsidRDefault="001A1A10" w:rsidP="001A1A10">
            <w:pPr>
              <w:widowControl w:val="0"/>
              <w:spacing w:before="6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2023</w:t>
            </w:r>
          </w:p>
          <w:p w:rsidR="001A1A10" w:rsidRPr="001A1A10" w:rsidRDefault="001A1A10" w:rsidP="001A1A10">
            <w:pPr>
              <w:widowControl w:val="0"/>
              <w:spacing w:before="6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spacing w:after="60"/>
              <w:ind w:left="-10" w:righ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2024</w:t>
            </w:r>
          </w:p>
          <w:p w:rsidR="001A1A10" w:rsidRPr="001A1A10" w:rsidRDefault="001A1A10" w:rsidP="001A1A10">
            <w:pPr>
              <w:widowControl w:val="0"/>
              <w:spacing w:before="60"/>
              <w:ind w:left="-10"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год</w:t>
            </w:r>
          </w:p>
        </w:tc>
      </w:tr>
      <w:tr w:rsidR="001A1A10" w:rsidRPr="001A1A10" w:rsidTr="001A1A10">
        <w:trPr>
          <w:trHeight w:hRule="exact" w:val="397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>12</w:t>
            </w:r>
          </w:p>
        </w:tc>
      </w:tr>
      <w:tr w:rsidR="001A1A10" w:rsidRPr="001A1A10" w:rsidTr="001A1A10">
        <w:trPr>
          <w:trHeight w:hRule="exact" w:val="870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Цель: повышение эффективности системы профилактики безнадзорности, правонарушений и преступлений среди несовершеннолетних, а также зашиты их прав</w:t>
            </w:r>
            <w:r w:rsidRPr="001A1A10">
              <w:rPr>
                <w:rFonts w:eastAsia="Times New Roman" w:cs="Times New Roman"/>
                <w:b/>
                <w:sz w:val="26"/>
                <w:szCs w:val="26"/>
              </w:rPr>
              <w:t xml:space="preserve">. </w:t>
            </w:r>
            <w:r w:rsidRPr="001A1A10">
              <w:rPr>
                <w:rFonts w:eastAsia="Times New Roman" w:cs="Times New Roman"/>
                <w:sz w:val="26"/>
                <w:szCs w:val="26"/>
              </w:rPr>
              <w:t>Задачи:</w:t>
            </w:r>
            <w:r w:rsidRPr="001A1A10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1A1A10">
              <w:rPr>
                <w:rFonts w:eastAsia="Times New Roman" w:cs="Times New Roman"/>
                <w:sz w:val="26"/>
                <w:szCs w:val="26"/>
              </w:rPr>
              <w:t>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      </w:r>
          </w:p>
        </w:tc>
      </w:tr>
      <w:tr w:rsidR="001A1A10" w:rsidRPr="001A1A10" w:rsidTr="001A1A10">
        <w:trPr>
          <w:trHeight w:hRule="exact" w:val="37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1.1. Проведение тематических лекций, классных часов по проблемам подростковой преступности, неблагополучных семей, противоправных посягательств в отношении несовершеннолетних, безнадзорности и беспризорности, алкоголизма, наркомании токсикомании, детского дорожно-транспортного травматизма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ИКМО «ЛМР»,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УДМС,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КДНиЗП</w:t>
            </w:r>
            <w:proofErr w:type="spellEnd"/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,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ЛЦРБ, ЦЗН,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ОМВД,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spacing w:after="60"/>
              <w:ind w:left="24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spacing w:after="60"/>
              <w:ind w:left="24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spacing w:after="60"/>
              <w:ind w:left="1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2021-2024</w:t>
            </w:r>
          </w:p>
          <w:p w:rsidR="001A1A10" w:rsidRPr="001A1A10" w:rsidRDefault="001A1A10" w:rsidP="001A1A10">
            <w:pPr>
              <w:widowControl w:val="0"/>
              <w:spacing w:before="6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left="143" w:right="132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Число несовер</w:t>
            </w: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softHyphen/>
              <w:t>шеннолетних, со</w:t>
            </w: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softHyphen/>
              <w:t>стоящих на учёте в подразделениях по делам несовершен</w:t>
            </w: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softHyphen/>
              <w:t>нолетних органов внутренних дел,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left="18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left="18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left="18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left="18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20,00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ТС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20,00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20,00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20,00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ТС</w:t>
            </w:r>
          </w:p>
        </w:tc>
      </w:tr>
      <w:tr w:rsidR="001A1A10" w:rsidRPr="001A1A10" w:rsidTr="001A1A10">
        <w:trPr>
          <w:trHeight w:hRule="exact" w:val="19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1.2. Оказание содействия в трудоустройстве несовершеннолетних граждан в возрасте от 14 до 18 лет в свободное от учебы и каникулярное время;  организация профессионального обучения несовершеннолетних в возрасте от 16 до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ЦЗН,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spacing w:after="60"/>
              <w:ind w:left="240" w:firstLine="0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spacing w:after="60"/>
              <w:ind w:left="1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2021-2024</w:t>
            </w:r>
          </w:p>
          <w:p w:rsidR="001A1A10" w:rsidRPr="001A1A10" w:rsidRDefault="001A1A10" w:rsidP="001A1A10">
            <w:pPr>
              <w:widowControl w:val="0"/>
              <w:spacing w:before="6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500,00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ТС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500,00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500,00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500,00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ТС</w:t>
            </w:r>
          </w:p>
        </w:tc>
      </w:tr>
      <w:tr w:rsidR="001A1A10" w:rsidRPr="001A1A10" w:rsidTr="001A1A10">
        <w:trPr>
          <w:trHeight w:hRule="exact" w:val="200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1.3. Организация квотирования бесплатных мест для детей, находящихся в социально-опасном положении, детей сирот, детей, оставшихся без попечения родителей, в оздоровительных лагерях, физкультурно-досуговых и спортивных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ИКМО «ЛМР»,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УДМС,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КДНиЗП</w:t>
            </w:r>
            <w:proofErr w:type="spellEnd"/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,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spacing w:after="60"/>
              <w:ind w:left="240" w:firstLine="0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spacing w:after="60"/>
              <w:ind w:left="240" w:firstLine="0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spacing w:after="60"/>
              <w:ind w:left="1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2021-2024</w:t>
            </w:r>
          </w:p>
          <w:p w:rsidR="001A1A10" w:rsidRPr="001A1A10" w:rsidRDefault="001A1A10" w:rsidP="001A1A10">
            <w:pPr>
              <w:widowControl w:val="0"/>
              <w:spacing w:before="60"/>
              <w:ind w:left="1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left="200" w:firstLine="0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left="200" w:firstLine="0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left="200" w:firstLine="0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1A10" w:rsidRPr="001A1A10" w:rsidTr="001A1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62"/>
        </w:trPr>
        <w:tc>
          <w:tcPr>
            <w:tcW w:w="3686" w:type="dxa"/>
          </w:tcPr>
          <w:p w:rsidR="001A1A10" w:rsidRPr="001A1A10" w:rsidRDefault="001A1A10" w:rsidP="001A1A10">
            <w:pPr>
              <w:widowControl w:val="0"/>
              <w:ind w:left="-98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1.4.Организация работу клубов технического творчества, </w:t>
            </w:r>
            <w:proofErr w:type="gramStart"/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картинг-клубов</w:t>
            </w:r>
            <w:proofErr w:type="gramEnd"/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(секций), авто-мотоклубов</w:t>
            </w:r>
          </w:p>
        </w:tc>
        <w:tc>
          <w:tcPr>
            <w:tcW w:w="1701" w:type="dxa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ИКМО «ЛМР»,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УДМС</w:t>
            </w:r>
          </w:p>
        </w:tc>
        <w:tc>
          <w:tcPr>
            <w:tcW w:w="1134" w:type="dxa"/>
          </w:tcPr>
          <w:p w:rsidR="001A1A10" w:rsidRPr="001A1A10" w:rsidRDefault="001A1A10" w:rsidP="001A1A10">
            <w:pPr>
              <w:widowControl w:val="0"/>
              <w:shd w:val="clear" w:color="auto" w:fill="FFFFFF"/>
              <w:spacing w:after="6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shd w:val="clear" w:color="auto" w:fill="FFFFFF"/>
              <w:spacing w:after="6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2021-2024 годы</w:t>
            </w:r>
          </w:p>
        </w:tc>
        <w:tc>
          <w:tcPr>
            <w:tcW w:w="2126" w:type="dxa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134" w:type="dxa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709" w:type="dxa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1" w:type="dxa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0" w:type="dxa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1" w:type="dxa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0" w:type="dxa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1" w:type="dxa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134" w:type="dxa"/>
          </w:tcPr>
          <w:p w:rsidR="001A1A10" w:rsidRPr="001A1A10" w:rsidRDefault="001A1A10" w:rsidP="001A1A10">
            <w:pPr>
              <w:widowControl w:val="0"/>
              <w:ind w:firstLine="0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1A10" w:rsidRPr="001A1A10" w:rsidTr="001A1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3686" w:type="dxa"/>
          </w:tcPr>
          <w:p w:rsidR="001A1A10" w:rsidRPr="001A1A10" w:rsidRDefault="001A1A10" w:rsidP="001A1A10">
            <w:pPr>
              <w:widowControl w:val="0"/>
              <w:ind w:left="-98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1.5. Организация для подростков, в том числе состоящих на учете в ОМВД России по Лениногорскому </w:t>
            </w: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району, туристических походов, профильных смен в лагерях</w:t>
            </w:r>
          </w:p>
        </w:tc>
        <w:tc>
          <w:tcPr>
            <w:tcW w:w="1701" w:type="dxa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УДМС,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КДНиЗП</w:t>
            </w:r>
            <w:proofErr w:type="spellEnd"/>
          </w:p>
        </w:tc>
        <w:tc>
          <w:tcPr>
            <w:tcW w:w="1134" w:type="dxa"/>
          </w:tcPr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 w:val="26"/>
                <w:szCs w:val="26"/>
                <w:lang w:eastAsia="ru-RU" w:bidi="ru-RU"/>
              </w:rPr>
              <w:t>2021-2024</w:t>
            </w:r>
          </w:p>
          <w:p w:rsidR="001A1A10" w:rsidRPr="001A1A10" w:rsidRDefault="001A1A10" w:rsidP="001A1A10">
            <w:pPr>
              <w:widowControl w:val="0"/>
              <w:ind w:left="-10" w:firstLine="0"/>
              <w:jc w:val="center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  <w:t>годы</w:t>
            </w:r>
          </w:p>
        </w:tc>
        <w:tc>
          <w:tcPr>
            <w:tcW w:w="2126" w:type="dxa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134" w:type="dxa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709" w:type="dxa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1" w:type="dxa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0" w:type="dxa"/>
          </w:tcPr>
          <w:p w:rsidR="001A1A10" w:rsidRPr="001A1A10" w:rsidRDefault="001A1A10" w:rsidP="001A1A10">
            <w:pPr>
              <w:widowControl w:val="0"/>
              <w:ind w:firstLine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1" w:type="dxa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0" w:type="dxa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851" w:type="dxa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134" w:type="dxa"/>
          </w:tcPr>
          <w:p w:rsidR="001A1A10" w:rsidRPr="001A1A10" w:rsidRDefault="001A1A10" w:rsidP="001A1A10">
            <w:pPr>
              <w:widowControl w:val="0"/>
              <w:ind w:firstLine="0"/>
              <w:rPr>
                <w:rFonts w:eastAsia="Arial Unicode MS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A1A10" w:rsidRPr="001A1A10" w:rsidTr="001A1A10">
        <w:trPr>
          <w:trHeight w:hRule="exact" w:val="46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lastRenderedPageBreak/>
              <w:t xml:space="preserve">1.6. Организация в «Центре психолого-педагогической помощи детям и молодежи «Логос» консультирования по вопросам развития возрастных особенностей детей и подростков, </w:t>
            </w:r>
            <w:proofErr w:type="spellStart"/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родительско</w:t>
            </w:r>
            <w:proofErr w:type="spellEnd"/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-детских отношений,  психологическая коррекция нарушений общения у детей, искажений в психологическом развитии ребенка, неблагополучных форм эмоционального реагирования и стереотипов поведения, конфликтных взаимоотношений родителей с детьми, неадекватных родительских установок и стереотипов воспитания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УДМС,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Центр психолого-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педагогической помощи детям и молодежи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«Логос»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2021-2024</w:t>
            </w:r>
          </w:p>
          <w:p w:rsidR="001A1A10" w:rsidRPr="001A1A10" w:rsidRDefault="001A1A10" w:rsidP="001A1A10">
            <w:pPr>
              <w:widowControl w:val="0"/>
              <w:shd w:val="clear" w:color="auto" w:fill="FFFFFF"/>
              <w:spacing w:after="60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</w:tr>
      <w:tr w:rsidR="001A1A10" w:rsidRPr="001A1A10" w:rsidTr="001A1A10">
        <w:trPr>
          <w:trHeight w:hRule="exact" w:val="29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lastRenderedPageBreak/>
              <w:t>1.7. Организация комплекса мер (слёты, конференции, семинары, тренинги) с подростками по развитию межкультурного и межконфессионального диалога, обучению навыкам толерантного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УДМС,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УО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Центр «Логос»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2021-2024</w:t>
            </w:r>
          </w:p>
          <w:p w:rsidR="001A1A10" w:rsidRPr="001A1A10" w:rsidRDefault="001A1A10" w:rsidP="001A1A10">
            <w:pPr>
              <w:widowControl w:val="0"/>
              <w:spacing w:before="6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</w:tr>
      <w:tr w:rsidR="001A1A10" w:rsidRPr="001A1A10" w:rsidTr="001A1A10">
        <w:trPr>
          <w:trHeight w:hRule="exact" w:val="26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 xml:space="preserve">1.8.Организация межведомственного социального </w:t>
            </w:r>
            <w:proofErr w:type="spellStart"/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патронирования</w:t>
            </w:r>
            <w:proofErr w:type="spellEnd"/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 xml:space="preserve"> семей и детей, находящихся в социально опасном положении. Поддержание в актуальном состоянии базы данных семей и несовершеннолетних, находящихся в социально опасном положении.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Субъекты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2021-2024</w:t>
            </w:r>
          </w:p>
          <w:p w:rsidR="001A1A10" w:rsidRPr="001A1A10" w:rsidRDefault="001A1A10" w:rsidP="001A1A10">
            <w:pPr>
              <w:widowControl w:val="0"/>
              <w:spacing w:before="6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  <w:szCs w:val="28"/>
              </w:rPr>
            </w:pPr>
            <w:r w:rsidRPr="001A1A10">
              <w:rPr>
                <w:rFonts w:eastAsia="Times New Roman" w:cs="Times New Roman"/>
                <w:szCs w:val="28"/>
              </w:rPr>
              <w:t>100,00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  <w:szCs w:val="28"/>
              </w:rPr>
            </w:pPr>
            <w:r w:rsidRPr="001A1A10">
              <w:rPr>
                <w:rFonts w:eastAsia="Times New Roman" w:cs="Times New Roman"/>
                <w:szCs w:val="28"/>
              </w:rPr>
              <w:t>ТС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  <w:szCs w:val="28"/>
              </w:rPr>
            </w:pPr>
            <w:r w:rsidRPr="001A1A10">
              <w:rPr>
                <w:rFonts w:eastAsia="Times New Roman" w:cs="Times New Roman"/>
                <w:szCs w:val="28"/>
              </w:rPr>
              <w:t>100,00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  <w:szCs w:val="28"/>
              </w:rPr>
            </w:pPr>
            <w:r w:rsidRPr="001A1A10">
              <w:rPr>
                <w:rFonts w:eastAsia="Times New Roman" w:cs="Times New Roman"/>
                <w:szCs w:val="28"/>
              </w:rPr>
              <w:t>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  <w:szCs w:val="28"/>
              </w:rPr>
            </w:pPr>
            <w:r w:rsidRPr="001A1A10">
              <w:rPr>
                <w:rFonts w:eastAsia="Times New Roman" w:cs="Times New Roman"/>
                <w:szCs w:val="28"/>
              </w:rPr>
              <w:t>100,00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  <w:szCs w:val="28"/>
              </w:rPr>
            </w:pPr>
            <w:r w:rsidRPr="001A1A10">
              <w:rPr>
                <w:rFonts w:eastAsia="Times New Roman" w:cs="Times New Roman"/>
                <w:szCs w:val="28"/>
              </w:rPr>
              <w:t>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  <w:szCs w:val="28"/>
              </w:rPr>
            </w:pPr>
            <w:r w:rsidRPr="001A1A10">
              <w:rPr>
                <w:rFonts w:eastAsia="Times New Roman" w:cs="Times New Roman"/>
                <w:szCs w:val="28"/>
              </w:rPr>
              <w:t>100,00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  <w:szCs w:val="28"/>
              </w:rPr>
            </w:pPr>
            <w:r w:rsidRPr="001A1A10">
              <w:rPr>
                <w:rFonts w:eastAsia="Times New Roman" w:cs="Times New Roman"/>
                <w:szCs w:val="28"/>
              </w:rPr>
              <w:t>ТС</w:t>
            </w:r>
          </w:p>
        </w:tc>
      </w:tr>
      <w:tr w:rsidR="001A1A10" w:rsidRPr="001A1A10" w:rsidTr="001A1A10">
        <w:trPr>
          <w:trHeight w:hRule="exact" w:val="2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left="-2" w:firstLine="0"/>
              <w:jc w:val="center"/>
              <w:rPr>
                <w:rFonts w:eastAsia="Arial Unicode MS" w:cs="Times New Roman"/>
                <w:color w:val="000000"/>
                <w:szCs w:val="1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Cs w:val="16"/>
                <w:lang w:eastAsia="ru-RU" w:bidi="ru-RU"/>
              </w:rPr>
              <w:lastRenderedPageBreak/>
              <w:t>1.9.Организация межведомственных рейдов по местам проживания семей, находящихся в социально опасном положении и трудной жизненной ситуации.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16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16"/>
                <w:lang w:eastAsia="ru-RU" w:bidi="ru-RU"/>
              </w:rPr>
              <w:t>Субъекты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16"/>
                <w:lang w:eastAsia="ru-RU" w:bidi="ru-RU"/>
              </w:rPr>
              <w:t>2021-2024</w:t>
            </w:r>
          </w:p>
          <w:p w:rsidR="001A1A10" w:rsidRPr="001A1A10" w:rsidRDefault="001A1A10" w:rsidP="001A1A10">
            <w:pPr>
              <w:widowControl w:val="0"/>
              <w:spacing w:before="6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16"/>
                <w:lang w:eastAsia="ru-RU" w:bidi="ru-RU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left="26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4"/>
                <w:lang w:eastAsia="ru-RU" w:bidi="ru-RU"/>
              </w:rPr>
            </w:pPr>
          </w:p>
        </w:tc>
      </w:tr>
      <w:tr w:rsidR="001A1A10" w:rsidRPr="001A1A10" w:rsidTr="001A1A10">
        <w:trPr>
          <w:trHeight w:hRule="exact" w:val="19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left="-2" w:firstLine="0"/>
              <w:jc w:val="center"/>
              <w:rPr>
                <w:rFonts w:eastAsia="Arial Unicode MS" w:cs="Times New Roman"/>
                <w:color w:val="000000"/>
                <w:szCs w:val="1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Cs w:val="16"/>
                <w:lang w:eastAsia="ru-RU" w:bidi="ru-RU"/>
              </w:rPr>
              <w:t>1.10 Организация работы межведомственного социально-реабилитационного консилиума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1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Cs w:val="16"/>
                <w:lang w:eastAsia="ru-RU" w:bidi="ru-RU"/>
              </w:rPr>
              <w:t>ГАУСО «КСЦОН «Исто</w:t>
            </w:r>
            <w:proofErr w:type="gramStart"/>
            <w:r w:rsidRPr="001A1A10">
              <w:rPr>
                <w:rFonts w:eastAsia="Arial Unicode MS" w:cs="Times New Roman"/>
                <w:color w:val="000000"/>
                <w:szCs w:val="16"/>
                <w:lang w:eastAsia="ru-RU" w:bidi="ru-RU"/>
              </w:rPr>
              <w:t>к-</w:t>
            </w:r>
            <w:proofErr w:type="gramEnd"/>
            <w:r w:rsidRPr="001A1A10">
              <w:rPr>
                <w:rFonts w:eastAsia="Arial Unicode MS" w:cs="Times New Roman"/>
                <w:color w:val="000000"/>
                <w:szCs w:val="16"/>
                <w:lang w:eastAsia="ru-RU" w:bidi="ru-RU"/>
              </w:rPr>
              <w:t xml:space="preserve"> Башлангыч»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16"/>
                <w:lang w:eastAsia="ru-RU" w:bidi="ru-RU"/>
              </w:rPr>
              <w:t>2021-2024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16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Cs w:val="16"/>
                <w:lang w:eastAsia="ru-RU" w:bidi="ru-RU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</w:rPr>
            </w:pPr>
            <w:r w:rsidRPr="001A1A10">
              <w:rPr>
                <w:rFonts w:eastAsia="Times New Roman" w:cs="Times New Roman"/>
              </w:rPr>
              <w:t>20,00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</w:rPr>
            </w:pPr>
            <w:r w:rsidRPr="001A1A10">
              <w:rPr>
                <w:rFonts w:eastAsia="Times New Roman" w:cs="Times New Roman"/>
              </w:rPr>
              <w:t>ТС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</w:rPr>
            </w:pPr>
            <w:r w:rsidRPr="001A1A10">
              <w:rPr>
                <w:rFonts w:eastAsia="Times New Roman" w:cs="Times New Roman"/>
              </w:rPr>
              <w:t>20,00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</w:rPr>
            </w:pPr>
            <w:r w:rsidRPr="001A1A10">
              <w:rPr>
                <w:rFonts w:eastAsia="Times New Roman" w:cs="Times New Roman"/>
              </w:rPr>
              <w:t>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</w:rPr>
            </w:pPr>
            <w:r w:rsidRPr="001A1A10">
              <w:rPr>
                <w:rFonts w:eastAsia="Times New Roman" w:cs="Times New Roman"/>
              </w:rPr>
              <w:t>20,00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</w:rPr>
            </w:pPr>
            <w:r w:rsidRPr="001A1A10">
              <w:rPr>
                <w:rFonts w:eastAsia="Times New Roman" w:cs="Times New Roman"/>
              </w:rPr>
              <w:t>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</w:rPr>
            </w:pPr>
            <w:r w:rsidRPr="001A1A10">
              <w:rPr>
                <w:rFonts w:eastAsia="Times New Roman" w:cs="Times New Roman"/>
              </w:rPr>
              <w:t>20,00</w:t>
            </w:r>
          </w:p>
          <w:p w:rsidR="001A1A10" w:rsidRPr="001A1A10" w:rsidRDefault="001A1A10" w:rsidP="001A1A10">
            <w:pPr>
              <w:widowControl w:val="0"/>
              <w:autoSpaceDE w:val="0"/>
              <w:autoSpaceDN w:val="0"/>
              <w:ind w:left="49" w:firstLine="0"/>
              <w:jc w:val="center"/>
              <w:rPr>
                <w:rFonts w:eastAsia="Times New Roman" w:cs="Times New Roman"/>
              </w:rPr>
            </w:pPr>
            <w:r w:rsidRPr="001A1A10">
              <w:rPr>
                <w:rFonts w:eastAsia="Times New Roman" w:cs="Times New Roman"/>
              </w:rPr>
              <w:t>ТС</w:t>
            </w:r>
          </w:p>
        </w:tc>
      </w:tr>
      <w:tr w:rsidR="001A1A10" w:rsidRPr="001A1A10" w:rsidTr="001A1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90"/>
        </w:trPr>
        <w:tc>
          <w:tcPr>
            <w:tcW w:w="3686" w:type="dxa"/>
          </w:tcPr>
          <w:p w:rsidR="001A1A10" w:rsidRPr="001A1A10" w:rsidRDefault="001A1A10" w:rsidP="001A1A10">
            <w:pPr>
              <w:widowControl w:val="0"/>
              <w:ind w:left="-100"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1.11 Организация ежеквартального заслушивания на заседаниях </w:t>
            </w:r>
            <w:proofErr w:type="spellStart"/>
            <w:r w:rsidRPr="001A1A1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КДНиЗП</w:t>
            </w:r>
            <w:proofErr w:type="spellEnd"/>
            <w:r w:rsidRPr="001A1A1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 xml:space="preserve"> общественных воспитателей о проделанной работе с несовершеннолетними, состоящими на учете ПДН</w:t>
            </w:r>
          </w:p>
        </w:tc>
        <w:tc>
          <w:tcPr>
            <w:tcW w:w="1701" w:type="dxa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proofErr w:type="spellStart"/>
            <w:r w:rsidRPr="001A1A1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КДНиЗП</w:t>
            </w:r>
            <w:proofErr w:type="spellEnd"/>
          </w:p>
        </w:tc>
        <w:tc>
          <w:tcPr>
            <w:tcW w:w="1134" w:type="dxa"/>
          </w:tcPr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spacing w:after="60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2021-2024</w:t>
            </w:r>
          </w:p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годы</w:t>
            </w:r>
          </w:p>
        </w:tc>
        <w:tc>
          <w:tcPr>
            <w:tcW w:w="2126" w:type="dxa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34" w:type="dxa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709" w:type="dxa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0" w:type="dxa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0" w:type="dxa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34" w:type="dxa"/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</w:tr>
      <w:tr w:rsidR="001A1A10" w:rsidRPr="001A1A10" w:rsidTr="001A1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82"/>
        </w:trPr>
        <w:tc>
          <w:tcPr>
            <w:tcW w:w="3686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ind w:left="-100"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lastRenderedPageBreak/>
              <w:t xml:space="preserve">1.12 Реализация образовательного модуля по вопросам профилактики экстремизма в подростково-молодежной среде в рамках </w:t>
            </w:r>
            <w:proofErr w:type="gramStart"/>
            <w:r w:rsidRPr="001A1A1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курсов повышения квалификации кадров сферы воспитания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spacing w:line="192" w:lineRule="exact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УО,</w:t>
            </w:r>
          </w:p>
          <w:p w:rsidR="001A1A10" w:rsidRPr="001A1A10" w:rsidRDefault="001A1A10" w:rsidP="001A1A10">
            <w:pPr>
              <w:widowControl w:val="0"/>
              <w:spacing w:line="192" w:lineRule="exact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УК,</w:t>
            </w:r>
          </w:p>
          <w:p w:rsidR="001A1A10" w:rsidRPr="001A1A10" w:rsidRDefault="001A1A10" w:rsidP="001A1A10">
            <w:pPr>
              <w:widowControl w:val="0"/>
              <w:spacing w:line="192" w:lineRule="exact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УДМС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spacing w:after="60" w:line="160" w:lineRule="exact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</w:p>
          <w:p w:rsidR="001A1A10" w:rsidRPr="001A1A10" w:rsidRDefault="001A1A10" w:rsidP="001A1A10">
            <w:pPr>
              <w:widowControl w:val="0"/>
              <w:spacing w:after="60" w:line="160" w:lineRule="exact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2021-2024</w:t>
            </w:r>
          </w:p>
          <w:p w:rsidR="001A1A10" w:rsidRPr="001A1A10" w:rsidRDefault="001A1A10" w:rsidP="001A1A10">
            <w:pPr>
              <w:widowControl w:val="0"/>
              <w:shd w:val="clear" w:color="auto" w:fill="FFFFFF"/>
              <w:spacing w:after="60" w:line="160" w:lineRule="exact"/>
              <w:ind w:left="-10" w:firstLine="0"/>
              <w:jc w:val="center"/>
              <w:rPr>
                <w:rFonts w:eastAsia="Times New Roman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Times New Roman" w:cs="Times New Roman"/>
                <w:color w:val="000000"/>
                <w:szCs w:val="28"/>
                <w:lang w:eastAsia="ru-RU" w:bidi="ru-RU"/>
              </w:rPr>
              <w:t>годы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</w:p>
        </w:tc>
      </w:tr>
      <w:tr w:rsidR="001A1A10" w:rsidRPr="001A1A10" w:rsidTr="001A1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3686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Всего по подпрограмме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1A10" w:rsidRPr="001A1A10" w:rsidRDefault="001A1A10" w:rsidP="001A1A10">
            <w:pPr>
              <w:widowControl w:val="0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1A10" w:rsidRPr="001A1A10" w:rsidRDefault="001A1A10" w:rsidP="001A1A10">
            <w:pPr>
              <w:widowControl w:val="0"/>
              <w:ind w:left="-108" w:right="-108" w:firstLine="0"/>
              <w:jc w:val="center"/>
              <w:rPr>
                <w:rFonts w:eastAsia="Arial Unicode MS" w:cs="Times New Roman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640,00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1A10" w:rsidRPr="001A1A10" w:rsidRDefault="001A1A10" w:rsidP="001A1A10">
            <w:pPr>
              <w:widowControl w:val="0"/>
              <w:ind w:left="-108" w:right="-108"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640,00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1A10" w:rsidRPr="001A1A10" w:rsidRDefault="001A1A10" w:rsidP="001A1A10">
            <w:pPr>
              <w:widowControl w:val="0"/>
              <w:ind w:left="-108" w:right="-108"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640,00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1A10" w:rsidRPr="001A1A10" w:rsidRDefault="001A1A10" w:rsidP="001A1A10">
            <w:pPr>
              <w:widowControl w:val="0"/>
              <w:ind w:left="-108" w:right="-108" w:firstLine="0"/>
              <w:jc w:val="center"/>
              <w:rPr>
                <w:rFonts w:ascii="Arial Unicode MS" w:eastAsia="Arial Unicode MS" w:hAnsi="Arial Unicode MS" w:cs="Arial Unicode MS"/>
                <w:color w:val="000000"/>
                <w:szCs w:val="28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Cs w:val="28"/>
                <w:lang w:eastAsia="ru-RU" w:bidi="ru-RU"/>
              </w:rPr>
              <w:t>640,00</w:t>
            </w:r>
          </w:p>
        </w:tc>
      </w:tr>
      <w:tr w:rsidR="001A1A10" w:rsidRPr="001A1A10" w:rsidTr="001A1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"/>
        </w:trPr>
        <w:tc>
          <w:tcPr>
            <w:tcW w:w="1587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A10" w:rsidRPr="001A1A10" w:rsidRDefault="001A1A10" w:rsidP="001A1A10">
            <w:pPr>
              <w:widowControl w:val="0"/>
              <w:numPr>
                <w:ilvl w:val="0"/>
                <w:numId w:val="2"/>
              </w:numPr>
              <w:contextualSpacing/>
              <w:rPr>
                <w:rFonts w:eastAsia="Arial Unicode MS" w:cs="Times New Roman"/>
                <w:color w:val="000000"/>
                <w:szCs w:val="20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Cs w:val="20"/>
                <w:lang w:eastAsia="ru-RU" w:bidi="ru-RU"/>
              </w:rPr>
              <w:t xml:space="preserve">Обозначения:  </w:t>
            </w:r>
          </w:p>
          <w:p w:rsidR="001A1A10" w:rsidRPr="001A1A10" w:rsidRDefault="001A1A10" w:rsidP="001A1A10">
            <w:pPr>
              <w:widowControl w:val="0"/>
              <w:ind w:left="720" w:firstLine="0"/>
              <w:contextualSpacing/>
              <w:rPr>
                <w:rFonts w:ascii="Arial Unicode MS" w:eastAsia="Arial Unicode MS" w:hAnsi="Arial Unicode MS" w:cs="Arial Unicode MS"/>
                <w:color w:val="000000"/>
                <w:szCs w:val="20"/>
                <w:lang w:eastAsia="ru-RU" w:bidi="ru-RU"/>
              </w:rPr>
            </w:pPr>
            <w:r w:rsidRPr="001A1A10">
              <w:rPr>
                <w:rFonts w:eastAsia="Arial Unicode MS" w:cs="Times New Roman"/>
                <w:color w:val="000000"/>
                <w:szCs w:val="20"/>
                <w:lang w:eastAsia="ru-RU" w:bidi="ru-RU"/>
              </w:rPr>
              <w:t>ТС – текущие   сметы субъектов профилактики правонарушений Лениногорского муниципального района.</w:t>
            </w:r>
          </w:p>
        </w:tc>
      </w:tr>
    </w:tbl>
    <w:p w:rsidR="001A1A10" w:rsidRDefault="001A1A10" w:rsidP="002F671F">
      <w:pPr>
        <w:ind w:firstLine="0"/>
      </w:pPr>
    </w:p>
    <w:sectPr w:rsidR="001A1A10" w:rsidSect="001A1A1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82" w:rsidRDefault="003F3C82" w:rsidP="001A1A10">
      <w:r>
        <w:separator/>
      </w:r>
    </w:p>
  </w:endnote>
  <w:endnote w:type="continuationSeparator" w:id="0">
    <w:p w:rsidR="003F3C82" w:rsidRDefault="003F3C82" w:rsidP="001A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82" w:rsidRDefault="003F3C82" w:rsidP="001A1A10">
      <w:r>
        <w:separator/>
      </w:r>
    </w:p>
  </w:footnote>
  <w:footnote w:type="continuationSeparator" w:id="0">
    <w:p w:rsidR="003F3C82" w:rsidRDefault="003F3C82" w:rsidP="001A1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10" w:rsidRDefault="001A1A10" w:rsidP="00F65FB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1A10" w:rsidRDefault="001A1A1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10" w:rsidRPr="00AE597F" w:rsidRDefault="001A1A10" w:rsidP="00F65FB0">
    <w:pPr>
      <w:pStyle w:val="a6"/>
      <w:framePr w:wrap="around" w:vAnchor="text" w:hAnchor="margin" w:xAlign="center" w:y="1"/>
      <w:rPr>
        <w:rStyle w:val="a8"/>
        <w:sz w:val="24"/>
        <w:szCs w:val="24"/>
      </w:rPr>
    </w:pPr>
    <w:r w:rsidRPr="00AE597F">
      <w:rPr>
        <w:rStyle w:val="a8"/>
        <w:sz w:val="24"/>
        <w:szCs w:val="24"/>
      </w:rPr>
      <w:fldChar w:fldCharType="begin"/>
    </w:r>
    <w:r w:rsidRPr="00AE597F">
      <w:rPr>
        <w:rStyle w:val="a8"/>
        <w:sz w:val="24"/>
        <w:szCs w:val="24"/>
      </w:rPr>
      <w:instrText xml:space="preserve">PAGE  </w:instrText>
    </w:r>
    <w:r w:rsidRPr="00AE597F">
      <w:rPr>
        <w:rStyle w:val="a8"/>
        <w:sz w:val="24"/>
        <w:szCs w:val="24"/>
      </w:rPr>
      <w:fldChar w:fldCharType="separate"/>
    </w:r>
    <w:r>
      <w:rPr>
        <w:rStyle w:val="a8"/>
        <w:noProof/>
        <w:sz w:val="24"/>
        <w:szCs w:val="24"/>
      </w:rPr>
      <w:t>2</w:t>
    </w:r>
    <w:r w:rsidRPr="00AE597F">
      <w:rPr>
        <w:rStyle w:val="a8"/>
        <w:sz w:val="24"/>
        <w:szCs w:val="24"/>
      </w:rPr>
      <w:fldChar w:fldCharType="end"/>
    </w:r>
  </w:p>
  <w:p w:rsidR="001A1A10" w:rsidRDefault="001A1A1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10" w:rsidRDefault="001A1A10">
    <w:pPr>
      <w:pStyle w:val="a6"/>
      <w:jc w:val="center"/>
    </w:pPr>
  </w:p>
  <w:p w:rsidR="001A1A10" w:rsidRDefault="001A1A10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10" w:rsidRPr="00AE597F" w:rsidRDefault="001A1A10" w:rsidP="00F65FB0">
    <w:pPr>
      <w:pStyle w:val="a6"/>
      <w:framePr w:wrap="around" w:vAnchor="text" w:hAnchor="margin" w:xAlign="center" w:y="1"/>
      <w:rPr>
        <w:rStyle w:val="a8"/>
        <w:sz w:val="24"/>
        <w:szCs w:val="24"/>
      </w:rPr>
    </w:pPr>
    <w:r w:rsidRPr="00AE597F">
      <w:rPr>
        <w:rStyle w:val="a8"/>
        <w:sz w:val="24"/>
        <w:szCs w:val="24"/>
      </w:rPr>
      <w:fldChar w:fldCharType="begin"/>
    </w:r>
    <w:r w:rsidRPr="00AE597F">
      <w:rPr>
        <w:rStyle w:val="a8"/>
        <w:sz w:val="24"/>
        <w:szCs w:val="24"/>
      </w:rPr>
      <w:instrText xml:space="preserve">PAGE  </w:instrText>
    </w:r>
    <w:r w:rsidRPr="00AE597F">
      <w:rPr>
        <w:rStyle w:val="a8"/>
        <w:sz w:val="24"/>
        <w:szCs w:val="24"/>
      </w:rPr>
      <w:fldChar w:fldCharType="separate"/>
    </w:r>
    <w:r w:rsidR="008731AF">
      <w:rPr>
        <w:rStyle w:val="a8"/>
        <w:noProof/>
        <w:sz w:val="24"/>
        <w:szCs w:val="24"/>
      </w:rPr>
      <w:t>20</w:t>
    </w:r>
    <w:r w:rsidRPr="00AE597F">
      <w:rPr>
        <w:rStyle w:val="a8"/>
        <w:sz w:val="24"/>
        <w:szCs w:val="24"/>
      </w:rPr>
      <w:fldChar w:fldCharType="end"/>
    </w:r>
  </w:p>
  <w:p w:rsidR="001A1A10" w:rsidRDefault="001A1A10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10" w:rsidRDefault="001A1A10">
    <w:pPr>
      <w:pStyle w:val="a6"/>
      <w:jc w:val="center"/>
    </w:pPr>
  </w:p>
  <w:p w:rsidR="001A1A10" w:rsidRDefault="001A1A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A09"/>
    <w:multiLevelType w:val="hybridMultilevel"/>
    <w:tmpl w:val="C6FE83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F617BB"/>
    <w:multiLevelType w:val="hybridMultilevel"/>
    <w:tmpl w:val="FB9E81EC"/>
    <w:lvl w:ilvl="0" w:tplc="2EA0F9D4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1C"/>
    <w:rsid w:val="0000267F"/>
    <w:rsid w:val="0000602F"/>
    <w:rsid w:val="000263A1"/>
    <w:rsid w:val="00034B62"/>
    <w:rsid w:val="0005745D"/>
    <w:rsid w:val="00072CEA"/>
    <w:rsid w:val="00075C16"/>
    <w:rsid w:val="000A20AC"/>
    <w:rsid w:val="000B12C5"/>
    <w:rsid w:val="000C7A54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1A10"/>
    <w:rsid w:val="001A3411"/>
    <w:rsid w:val="001A3B4A"/>
    <w:rsid w:val="001B5D74"/>
    <w:rsid w:val="001B7F93"/>
    <w:rsid w:val="001C2F40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97298"/>
    <w:rsid w:val="002B5850"/>
    <w:rsid w:val="002C6803"/>
    <w:rsid w:val="002F671F"/>
    <w:rsid w:val="003026E3"/>
    <w:rsid w:val="003073E2"/>
    <w:rsid w:val="003107E2"/>
    <w:rsid w:val="00313D97"/>
    <w:rsid w:val="00322388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3C82"/>
    <w:rsid w:val="003F5C6C"/>
    <w:rsid w:val="00411FC5"/>
    <w:rsid w:val="004173A4"/>
    <w:rsid w:val="00423944"/>
    <w:rsid w:val="0042399F"/>
    <w:rsid w:val="00427552"/>
    <w:rsid w:val="00474836"/>
    <w:rsid w:val="00482F5B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81EFA"/>
    <w:rsid w:val="00590389"/>
    <w:rsid w:val="00595700"/>
    <w:rsid w:val="005A24E2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332A"/>
    <w:rsid w:val="005F4CE6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31E0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31AF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35686"/>
    <w:rsid w:val="00A4490B"/>
    <w:rsid w:val="00A51FC1"/>
    <w:rsid w:val="00A53862"/>
    <w:rsid w:val="00A626A0"/>
    <w:rsid w:val="00A92A14"/>
    <w:rsid w:val="00A936B3"/>
    <w:rsid w:val="00A96F14"/>
    <w:rsid w:val="00AA0446"/>
    <w:rsid w:val="00AA5829"/>
    <w:rsid w:val="00AB68CF"/>
    <w:rsid w:val="00AC1FD2"/>
    <w:rsid w:val="00AC2E2A"/>
    <w:rsid w:val="00AC7CAF"/>
    <w:rsid w:val="00AE3E69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83D4E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0D1C"/>
    <w:rsid w:val="00C21E37"/>
    <w:rsid w:val="00C25DC1"/>
    <w:rsid w:val="00C3550D"/>
    <w:rsid w:val="00C379EF"/>
    <w:rsid w:val="00C417FF"/>
    <w:rsid w:val="00C41C2E"/>
    <w:rsid w:val="00C446D4"/>
    <w:rsid w:val="00C46606"/>
    <w:rsid w:val="00C50E3F"/>
    <w:rsid w:val="00C512CA"/>
    <w:rsid w:val="00C54A40"/>
    <w:rsid w:val="00C700EE"/>
    <w:rsid w:val="00C748CB"/>
    <w:rsid w:val="00C8330B"/>
    <w:rsid w:val="00C84350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42399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473EB"/>
    <w:rsid w:val="00F752B9"/>
    <w:rsid w:val="00F851E9"/>
    <w:rsid w:val="00F922ED"/>
    <w:rsid w:val="00F92E04"/>
    <w:rsid w:val="00F931FE"/>
    <w:rsid w:val="00F94D3A"/>
    <w:rsid w:val="00F95125"/>
    <w:rsid w:val="00FA5788"/>
    <w:rsid w:val="00FA6CC6"/>
    <w:rsid w:val="00FB20F4"/>
    <w:rsid w:val="00FB45EC"/>
    <w:rsid w:val="00FB66C7"/>
    <w:rsid w:val="00FC52ED"/>
    <w:rsid w:val="00FC725D"/>
    <w:rsid w:val="00FE1370"/>
    <w:rsid w:val="00FF48B2"/>
    <w:rsid w:val="00FF4C93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CC6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73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73E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1A1A10"/>
    <w:pPr>
      <w:tabs>
        <w:tab w:val="center" w:pos="4677"/>
        <w:tab w:val="right" w:pos="9355"/>
      </w:tabs>
      <w:ind w:firstLine="0"/>
    </w:pPr>
    <w:rPr>
      <w:rFonts w:eastAsia="Times New Roman" w:cs="Times New Roman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A1A10"/>
    <w:rPr>
      <w:rFonts w:eastAsia="Times New Roman" w:cs="Times New Roman"/>
      <w:szCs w:val="28"/>
      <w:lang w:val="x-none" w:eastAsia="x-none"/>
    </w:rPr>
  </w:style>
  <w:style w:type="character" w:styleId="a8">
    <w:name w:val="page number"/>
    <w:basedOn w:val="a0"/>
    <w:rsid w:val="001A1A10"/>
  </w:style>
  <w:style w:type="paragraph" w:styleId="a9">
    <w:name w:val="footer"/>
    <w:basedOn w:val="a"/>
    <w:link w:val="aa"/>
    <w:uiPriority w:val="99"/>
    <w:unhideWhenUsed/>
    <w:rsid w:val="001A1A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1A10"/>
  </w:style>
  <w:style w:type="table" w:customStyle="1" w:styleId="1">
    <w:name w:val="Сетка таблицы1"/>
    <w:basedOn w:val="a1"/>
    <w:next w:val="a3"/>
    <w:uiPriority w:val="59"/>
    <w:rsid w:val="001A1A10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CC6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73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73E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1A1A10"/>
    <w:pPr>
      <w:tabs>
        <w:tab w:val="center" w:pos="4677"/>
        <w:tab w:val="right" w:pos="9355"/>
      </w:tabs>
      <w:ind w:firstLine="0"/>
    </w:pPr>
    <w:rPr>
      <w:rFonts w:eastAsia="Times New Roman" w:cs="Times New Roman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A1A10"/>
    <w:rPr>
      <w:rFonts w:eastAsia="Times New Roman" w:cs="Times New Roman"/>
      <w:szCs w:val="28"/>
      <w:lang w:val="x-none" w:eastAsia="x-none"/>
    </w:rPr>
  </w:style>
  <w:style w:type="character" w:styleId="a8">
    <w:name w:val="page number"/>
    <w:basedOn w:val="a0"/>
    <w:rsid w:val="001A1A10"/>
  </w:style>
  <w:style w:type="paragraph" w:styleId="a9">
    <w:name w:val="footer"/>
    <w:basedOn w:val="a"/>
    <w:link w:val="aa"/>
    <w:uiPriority w:val="99"/>
    <w:unhideWhenUsed/>
    <w:rsid w:val="001A1A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1A10"/>
  </w:style>
  <w:style w:type="table" w:customStyle="1" w:styleId="1">
    <w:name w:val="Сетка таблицы1"/>
    <w:basedOn w:val="a1"/>
    <w:next w:val="a3"/>
    <w:uiPriority w:val="59"/>
    <w:rsid w:val="001A1A10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A27AFBB3776B7B37DB4EDB2B9378AFE9F78F46338F94E11F7FAC9145B1TF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4856</Words>
  <Characters>27680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2021-01-12T11:16:00Z</cp:lastPrinted>
  <dcterms:created xsi:type="dcterms:W3CDTF">2021-01-13T06:14:00Z</dcterms:created>
  <dcterms:modified xsi:type="dcterms:W3CDTF">2021-01-13T06:14:00Z</dcterms:modified>
</cp:coreProperties>
</file>