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27" w:rsidRPr="00E921DD" w:rsidRDefault="00330B27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330B27" w:rsidRDefault="00330B27" w:rsidP="00866F58">
      <w:pPr>
        <w:ind w:right="-1"/>
        <w:jc w:val="center"/>
        <w:rPr>
          <w:sz w:val="28"/>
          <w:szCs w:val="28"/>
        </w:rPr>
      </w:pPr>
    </w:p>
    <w:p w:rsidR="00330B27" w:rsidRPr="00E921DD" w:rsidRDefault="00330B27" w:rsidP="00866F58">
      <w:pPr>
        <w:ind w:right="-1"/>
        <w:jc w:val="center"/>
        <w:rPr>
          <w:sz w:val="28"/>
          <w:szCs w:val="28"/>
        </w:rPr>
      </w:pPr>
    </w:p>
    <w:p w:rsidR="00330B27" w:rsidRPr="00E921DD" w:rsidRDefault="00330B27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1383</w:t>
      </w:r>
    </w:p>
    <w:p w:rsidR="00330B27" w:rsidRDefault="00330B27" w:rsidP="00866F58">
      <w:pPr>
        <w:ind w:right="-1"/>
        <w:jc w:val="center"/>
        <w:rPr>
          <w:sz w:val="28"/>
          <w:szCs w:val="28"/>
        </w:rPr>
      </w:pPr>
    </w:p>
    <w:p w:rsidR="00330B27" w:rsidRPr="00E921DD" w:rsidRDefault="00330B27" w:rsidP="00866F58">
      <w:pPr>
        <w:ind w:right="-1"/>
        <w:jc w:val="center"/>
        <w:rPr>
          <w:sz w:val="28"/>
          <w:szCs w:val="28"/>
        </w:rPr>
      </w:pPr>
    </w:p>
    <w:p w:rsidR="00330B27" w:rsidRPr="008A1D69" w:rsidRDefault="00330B27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27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Pr="00E921D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1430B1" w:rsidRDefault="001430B1" w:rsidP="001430B1">
      <w:pPr>
        <w:jc w:val="right"/>
        <w:rPr>
          <w:sz w:val="28"/>
          <w:szCs w:val="28"/>
        </w:rPr>
      </w:pPr>
    </w:p>
    <w:p w:rsidR="00CF6FEE" w:rsidRDefault="00CF6FEE" w:rsidP="001430B1">
      <w:pPr>
        <w:jc w:val="right"/>
        <w:rPr>
          <w:sz w:val="28"/>
          <w:szCs w:val="28"/>
        </w:rPr>
      </w:pPr>
    </w:p>
    <w:p w:rsidR="00CF6FEE" w:rsidRDefault="00CF6FEE" w:rsidP="001430B1">
      <w:pPr>
        <w:jc w:val="right"/>
        <w:rPr>
          <w:sz w:val="28"/>
          <w:szCs w:val="28"/>
        </w:rPr>
      </w:pPr>
    </w:p>
    <w:p w:rsidR="00CF6FEE" w:rsidRDefault="00CF6FEE" w:rsidP="001430B1">
      <w:pPr>
        <w:jc w:val="right"/>
        <w:rPr>
          <w:sz w:val="28"/>
          <w:szCs w:val="28"/>
        </w:rPr>
      </w:pPr>
    </w:p>
    <w:p w:rsidR="00CF6FEE" w:rsidRDefault="00CF6FEE" w:rsidP="001430B1">
      <w:pPr>
        <w:jc w:val="right"/>
        <w:rPr>
          <w:sz w:val="28"/>
          <w:szCs w:val="28"/>
        </w:rPr>
      </w:pPr>
    </w:p>
    <w:p w:rsidR="00CF6FEE" w:rsidRDefault="00CF6FEE" w:rsidP="001430B1">
      <w:pPr>
        <w:jc w:val="right"/>
        <w:rPr>
          <w:sz w:val="28"/>
          <w:szCs w:val="28"/>
        </w:rPr>
      </w:pPr>
    </w:p>
    <w:p w:rsidR="00063442" w:rsidRDefault="00063442" w:rsidP="001C27A8">
      <w:pPr>
        <w:ind w:right="538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 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</w:t>
      </w:r>
      <w:proofErr w:type="gramStart"/>
      <w:r w:rsidR="001430B1" w:rsidRPr="00222C0B">
        <w:rPr>
          <w:sz w:val="28"/>
          <w:szCs w:val="28"/>
        </w:rPr>
        <w:t>в</w:t>
      </w:r>
      <w:proofErr w:type="gramEnd"/>
      <w:r w:rsidR="001430B1" w:rsidRPr="00222C0B">
        <w:rPr>
          <w:sz w:val="28"/>
          <w:szCs w:val="28"/>
        </w:rPr>
        <w:t xml:space="preserve"> </w:t>
      </w:r>
      <w:proofErr w:type="gramStart"/>
      <w:r w:rsidR="001430B1" w:rsidRPr="00222C0B">
        <w:rPr>
          <w:sz w:val="28"/>
          <w:szCs w:val="28"/>
        </w:rPr>
        <w:t>Лениногорском</w:t>
      </w:r>
      <w:proofErr w:type="gramEnd"/>
      <w:r w:rsidR="001430B1" w:rsidRPr="00222C0B">
        <w:rPr>
          <w:sz w:val="28"/>
          <w:szCs w:val="28"/>
        </w:rPr>
        <w:t xml:space="preserve"> муниципальном районе на 2015-2020 годы»</w:t>
      </w:r>
    </w:p>
    <w:bookmarkEnd w:id="0"/>
    <w:p w:rsidR="00063442" w:rsidRDefault="00063442" w:rsidP="001C27A8">
      <w:pPr>
        <w:ind w:right="5385"/>
        <w:jc w:val="both"/>
        <w:rPr>
          <w:sz w:val="28"/>
          <w:szCs w:val="28"/>
        </w:rPr>
      </w:pPr>
    </w:p>
    <w:p w:rsidR="001430B1" w:rsidRPr="00222C0B" w:rsidRDefault="00063442" w:rsidP="00BA4DFF">
      <w:pPr>
        <w:ind w:right="-2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 и во </w:t>
      </w:r>
      <w:r w:rsidRPr="002843F7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постановления Кабинета Министров Республики Татарстан от 10.09.2018 №763 «О внесении изменений в постановление Кабинета Министров  Республики Татарстан от 19.07.2014 №512 «Об утверждении государственной программы «Реализация  антикоррупционной политики  Республики Татарстан на 2015-2020 годы»</w:t>
      </w:r>
      <w:r w:rsidR="001C27A8">
        <w:rPr>
          <w:color w:val="000000"/>
          <w:sz w:val="28"/>
          <w:szCs w:val="28"/>
          <w:shd w:val="clear" w:color="auto" w:fill="FFFFFF"/>
        </w:rPr>
        <w:t>,</w:t>
      </w:r>
      <w:r w:rsidR="001430B1" w:rsidRPr="00222C0B">
        <w:rPr>
          <w:color w:val="000000"/>
          <w:sz w:val="28"/>
          <w:szCs w:val="28"/>
          <w:shd w:val="clear" w:color="auto" w:fill="FFFFFF"/>
        </w:rPr>
        <w:t xml:space="preserve"> </w:t>
      </w:r>
      <w:r w:rsidR="001430B1" w:rsidRPr="003009C2">
        <w:rPr>
          <w:color w:val="000000"/>
          <w:sz w:val="28"/>
          <w:szCs w:val="28"/>
          <w:shd w:val="clear" w:color="auto" w:fill="FFFFFF"/>
        </w:rPr>
        <w:t xml:space="preserve">Исполнительный комитет муниципального образования «Лениногорский муниципальный район»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:rsidR="00DD51BF" w:rsidRDefault="00DD51BF" w:rsidP="001C27A8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2020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1C27A8">
        <w:rPr>
          <w:sz w:val="28"/>
          <w:szCs w:val="28"/>
        </w:rPr>
        <w:t>0</w:t>
      </w:r>
      <w:r>
        <w:rPr>
          <w:sz w:val="28"/>
          <w:szCs w:val="28"/>
        </w:rPr>
        <w:t xml:space="preserve">9.12.2014 №451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477C6E">
        <w:rPr>
          <w:sz w:val="28"/>
          <w:szCs w:val="28"/>
        </w:rPr>
        <w:t>от 23.05.2016 №779а</w:t>
      </w:r>
      <w:r w:rsidR="00063442">
        <w:rPr>
          <w:sz w:val="28"/>
          <w:szCs w:val="28"/>
        </w:rPr>
        <w:t xml:space="preserve">, 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477C6E">
        <w:rPr>
          <w:sz w:val="28"/>
          <w:szCs w:val="28"/>
        </w:rPr>
        <w:t>) следующие изменения: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«2015-2020» заменить цифрами «2015-2021»;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«2015-2020» заменить цифрами «2015-2021»;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«2015-2020» заменить цифрами «2015-2021»;</w:t>
      </w:r>
    </w:p>
    <w:p w:rsidR="00E30F2A" w:rsidRDefault="003B51C9" w:rsidP="000634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>с распределением по годам изложить в следующей редакции:</w:t>
      </w:r>
    </w:p>
    <w:p w:rsidR="003B51C9" w:rsidRPr="00A83C79" w:rsidRDefault="003B51C9" w:rsidP="00063442">
      <w:pPr>
        <w:ind w:firstLine="851"/>
        <w:jc w:val="both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0F2A" w:rsidRPr="00A83C79" w:rsidTr="003B51C9">
        <w:trPr>
          <w:cantSplit/>
          <w:trHeight w:val="480"/>
        </w:trPr>
        <w:tc>
          <w:tcPr>
            <w:tcW w:w="2268" w:type="dxa"/>
          </w:tcPr>
          <w:p w:rsidR="00E30F2A" w:rsidRPr="00A83C79" w:rsidRDefault="003B51C9" w:rsidP="008261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30F2A"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Источники финансирования                 </w:t>
            </w:r>
          </w:p>
        </w:tc>
        <w:tc>
          <w:tcPr>
            <w:tcW w:w="7371" w:type="dxa"/>
          </w:tcPr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Текущее финансирование за счет средств бюджетов Лениногорского муниципального района и города Лениногорска составляет 210 тыс. рублей.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2015 год – 15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2016 год – 20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2017 год – 25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2018 год – 30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2019 год – 35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2020 год – 40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2021 год – 45 тыс. руб.</w:t>
            </w:r>
          </w:p>
          <w:p w:rsidR="00E30F2A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79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51C9" w:rsidRPr="00A83C79" w:rsidRDefault="003B51C9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B4011" w:rsidRPr="00A83C79" w:rsidRDefault="003B51C9" w:rsidP="00063442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«2015-2021 годы» заменить цифрами «2015-2021 годы»;</w:t>
      </w:r>
    </w:p>
    <w:p w:rsidR="00FB4011" w:rsidRPr="00A83C79" w:rsidRDefault="00F30A2B" w:rsidP="00FB401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>Цели, задачи, индикаторы оценки результатов муниципальной  программы «Реализация антикоррупционной политики Лениногорского муниципального района Республики Татарстан на 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B77389" w:rsidRPr="00A83C79">
        <w:rPr>
          <w:color w:val="000000"/>
          <w:sz w:val="28"/>
          <w:szCs w:val="28"/>
        </w:rPr>
        <w:t>0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 xml:space="preserve">2015-2020 годы»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«2015-2021 годы»;</w:t>
      </w:r>
    </w:p>
    <w:p w:rsidR="00CC5A45" w:rsidRPr="001C27A8" w:rsidRDefault="00F30A2B" w:rsidP="002F32AE">
      <w:pPr>
        <w:tabs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B77389">
        <w:rPr>
          <w:color w:val="000000"/>
          <w:sz w:val="28"/>
          <w:szCs w:val="28"/>
        </w:rPr>
        <w:t>1</w:t>
      </w:r>
      <w:r w:rsidR="00B77389" w:rsidRPr="00FB4011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:rsidR="00854231" w:rsidRPr="00854231" w:rsidRDefault="00F30A2B" w:rsidP="00F30A2B">
      <w:pPr>
        <w:tabs>
          <w:tab w:val="left" w:pos="993"/>
          <w:tab w:val="left" w:pos="1276"/>
        </w:tabs>
        <w:ind w:right="-1" w:firstLine="851"/>
        <w:jc w:val="both"/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:rsidR="001430B1" w:rsidRPr="00BA4DFF" w:rsidRDefault="00F30A2B" w:rsidP="00F30A2B">
      <w:pPr>
        <w:tabs>
          <w:tab w:val="left" w:pos="851"/>
          <w:tab w:val="left" w:pos="1276"/>
        </w:tabs>
        <w:ind w:right="-1" w:firstLine="851"/>
        <w:jc w:val="both"/>
      </w:pPr>
      <w:r>
        <w:rPr>
          <w:sz w:val="28"/>
          <w:szCs w:val="28"/>
        </w:rPr>
        <w:t>3.</w:t>
      </w:r>
      <w:proofErr w:type="gramStart"/>
      <w:r w:rsidR="00BA4DFF" w:rsidRPr="00BA4DFF">
        <w:rPr>
          <w:sz w:val="28"/>
          <w:szCs w:val="28"/>
        </w:rPr>
        <w:t>Контроль за</w:t>
      </w:r>
      <w:proofErr w:type="gramEnd"/>
      <w:r w:rsidR="00BA4DFF" w:rsidRPr="00BA4DF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A4DFF" w:rsidRDefault="00BA4DFF" w:rsidP="00CB0576">
      <w:pPr>
        <w:tabs>
          <w:tab w:val="left" w:pos="993"/>
        </w:tabs>
        <w:ind w:right="-1"/>
        <w:rPr>
          <w:sz w:val="28"/>
          <w:szCs w:val="28"/>
        </w:rPr>
      </w:pPr>
    </w:p>
    <w:p w:rsidR="00CF6FEE" w:rsidRDefault="00CF6FEE" w:rsidP="00CB0576">
      <w:pPr>
        <w:tabs>
          <w:tab w:val="left" w:pos="993"/>
        </w:tabs>
        <w:ind w:right="-1"/>
        <w:rPr>
          <w:sz w:val="28"/>
          <w:szCs w:val="28"/>
        </w:rPr>
      </w:pPr>
    </w:p>
    <w:p w:rsidR="006468AF" w:rsidRDefault="006468AF" w:rsidP="003A4E9B">
      <w:pPr>
        <w:tabs>
          <w:tab w:val="left" w:pos="993"/>
        </w:tabs>
        <w:ind w:right="-1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CB0576" w:rsidRPr="00C24DB6" w:rsidTr="008261A2">
        <w:tc>
          <w:tcPr>
            <w:tcW w:w="3331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6468AF" w:rsidRDefault="006468AF" w:rsidP="003A4E9B">
      <w:pPr>
        <w:tabs>
          <w:tab w:val="left" w:pos="993"/>
        </w:tabs>
        <w:ind w:right="-1"/>
        <w:rPr>
          <w:sz w:val="22"/>
          <w:szCs w:val="22"/>
        </w:rPr>
      </w:pPr>
    </w:p>
    <w:p w:rsidR="003A4E9B" w:rsidRDefault="003A4E9B" w:rsidP="003A4E9B">
      <w:pPr>
        <w:tabs>
          <w:tab w:val="left" w:pos="993"/>
        </w:tabs>
        <w:ind w:right="-1"/>
        <w:rPr>
          <w:sz w:val="22"/>
          <w:szCs w:val="22"/>
        </w:rPr>
      </w:pPr>
      <w:proofErr w:type="spellStart"/>
      <w:r w:rsidRPr="003A4E9B">
        <w:rPr>
          <w:sz w:val="22"/>
          <w:szCs w:val="22"/>
        </w:rPr>
        <w:t>И.А.Губайдуллин</w:t>
      </w:r>
      <w:proofErr w:type="spellEnd"/>
    </w:p>
    <w:p w:rsidR="003A4E9B" w:rsidRPr="003A4E9B" w:rsidRDefault="003A4E9B" w:rsidP="003A4E9B">
      <w:pPr>
        <w:tabs>
          <w:tab w:val="left" w:pos="993"/>
        </w:tabs>
        <w:ind w:right="-1"/>
        <w:rPr>
          <w:sz w:val="22"/>
          <w:szCs w:val="22"/>
        </w:rPr>
        <w:sectPr w:rsidR="003A4E9B" w:rsidRPr="003A4E9B" w:rsidSect="001C27A8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:rsidR="00F30A2B" w:rsidRDefault="001C27A8" w:rsidP="00F30A2B">
      <w:pPr>
        <w:ind w:left="10632"/>
        <w:jc w:val="center"/>
      </w:pPr>
      <w:r w:rsidRPr="00CB0576">
        <w:t>Приложение</w:t>
      </w:r>
    </w:p>
    <w:p w:rsidR="00F30A2B" w:rsidRDefault="00F30A2B" w:rsidP="00F30A2B">
      <w:pPr>
        <w:ind w:left="10632"/>
      </w:pPr>
    </w:p>
    <w:p w:rsidR="00CB0576" w:rsidRDefault="00CB0576" w:rsidP="00F30A2B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2021 годы»</w:t>
      </w:r>
      <w:r w:rsidR="00F30A2B">
        <w:t xml:space="preserve">   </w:t>
      </w:r>
    </w:p>
    <w:p w:rsidR="00F30A2B" w:rsidRDefault="00F30A2B" w:rsidP="00F30A2B">
      <w:pPr>
        <w:ind w:left="10632"/>
      </w:pPr>
    </w:p>
    <w:p w:rsidR="00CB0576" w:rsidRPr="00CB0576" w:rsidRDefault="00330B27" w:rsidP="00F30A2B">
      <w:pPr>
        <w:ind w:left="10632"/>
      </w:pPr>
      <w:r>
        <w:t>от «27</w:t>
      </w:r>
      <w:r w:rsidR="00F30A2B">
        <w:t xml:space="preserve">» </w:t>
      </w:r>
      <w:r>
        <w:t xml:space="preserve">сентября </w:t>
      </w:r>
      <w:r w:rsidR="00F30A2B">
        <w:t>20</w:t>
      </w:r>
      <w:r>
        <w:t>19 г. № 1383</w:t>
      </w:r>
    </w:p>
    <w:p w:rsidR="001C27A8" w:rsidRDefault="001C27A8" w:rsidP="001C27A8">
      <w:pPr>
        <w:ind w:left="10915"/>
        <w:jc w:val="center"/>
      </w:pPr>
    </w:p>
    <w:p w:rsidR="00841004" w:rsidRDefault="00841004" w:rsidP="001C27A8">
      <w:pPr>
        <w:ind w:left="10915"/>
        <w:jc w:val="center"/>
      </w:pPr>
    </w:p>
    <w:p w:rsidR="00841004" w:rsidRPr="006542AB" w:rsidRDefault="00841004" w:rsidP="001C27A8">
      <w:pPr>
        <w:ind w:left="10915"/>
        <w:jc w:val="center"/>
      </w:pPr>
    </w:p>
    <w:p w:rsidR="007E489A" w:rsidRDefault="007E489A" w:rsidP="00CB0576">
      <w:pPr>
        <w:jc w:val="center"/>
        <w:rPr>
          <w:sz w:val="28"/>
        </w:rPr>
      </w:pP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:rsidR="00CB0576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>муниципальной  программы «Реализация антикоррупционной политики</w:t>
      </w: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 Лениногорского муниципального района Республики Татарстан на 2015 – 2021 годы» </w:t>
      </w:r>
    </w:p>
    <w:p w:rsidR="00CB0576" w:rsidRDefault="00CB0576" w:rsidP="00CB0576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:rsidR="004F45E7" w:rsidRDefault="004F45E7" w:rsidP="00CB0576">
      <w:pPr>
        <w:jc w:val="center"/>
        <w:rPr>
          <w:sz w:val="28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984"/>
        <w:gridCol w:w="1276"/>
        <w:gridCol w:w="2551"/>
        <w:gridCol w:w="709"/>
        <w:gridCol w:w="709"/>
        <w:gridCol w:w="709"/>
        <w:gridCol w:w="708"/>
        <w:gridCol w:w="709"/>
        <w:gridCol w:w="709"/>
        <w:gridCol w:w="709"/>
      </w:tblGrid>
      <w:tr w:rsidR="004F45E7" w:rsidRPr="007B7892" w:rsidTr="007B7892">
        <w:trPr>
          <w:tblHeader/>
        </w:trPr>
        <w:tc>
          <w:tcPr>
            <w:tcW w:w="851" w:type="dxa"/>
            <w:vMerge w:val="restart"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№</w:t>
            </w:r>
          </w:p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proofErr w:type="gramStart"/>
            <w:r w:rsidRPr="004F45E7">
              <w:rPr>
                <w:sz w:val="26"/>
                <w:szCs w:val="26"/>
              </w:rPr>
              <w:t>п</w:t>
            </w:r>
            <w:proofErr w:type="gramEnd"/>
            <w:r w:rsidRPr="004F45E7">
              <w:rPr>
                <w:sz w:val="26"/>
                <w:szCs w:val="26"/>
              </w:rPr>
              <w:t>/п</w:t>
            </w:r>
          </w:p>
        </w:tc>
        <w:tc>
          <w:tcPr>
            <w:tcW w:w="4253" w:type="dxa"/>
            <w:vMerge w:val="restart"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Наименование</w:t>
            </w:r>
          </w:p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  <w:vMerge w:val="restart"/>
          </w:tcPr>
          <w:p w:rsidR="004F45E7" w:rsidRPr="007B7892" w:rsidRDefault="004F45E7" w:rsidP="007B789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Срок</w:t>
            </w:r>
          </w:p>
        </w:tc>
        <w:tc>
          <w:tcPr>
            <w:tcW w:w="2551" w:type="dxa"/>
            <w:vMerge w:val="restart"/>
          </w:tcPr>
          <w:p w:rsidR="004F45E7" w:rsidRPr="007B7892" w:rsidRDefault="004F45E7" w:rsidP="00CB0576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4962" w:type="dxa"/>
            <w:gridSpan w:val="7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Финансирование по годам, </w:t>
            </w:r>
            <w:proofErr w:type="spellStart"/>
            <w:r w:rsidRPr="004F45E7">
              <w:rPr>
                <w:sz w:val="26"/>
                <w:szCs w:val="26"/>
              </w:rPr>
              <w:t>тыс</w:t>
            </w:r>
            <w:proofErr w:type="gramStart"/>
            <w:r w:rsidRPr="004F45E7">
              <w:rPr>
                <w:sz w:val="26"/>
                <w:szCs w:val="26"/>
              </w:rPr>
              <w:t>.р</w:t>
            </w:r>
            <w:proofErr w:type="gramEnd"/>
            <w:r w:rsidRPr="004F45E7">
              <w:rPr>
                <w:sz w:val="26"/>
                <w:szCs w:val="26"/>
              </w:rPr>
              <w:t>ублей</w:t>
            </w:r>
            <w:proofErr w:type="spellEnd"/>
          </w:p>
        </w:tc>
      </w:tr>
      <w:tr w:rsidR="007B7892" w:rsidRPr="007B7892" w:rsidTr="007B7892">
        <w:trPr>
          <w:tblHeader/>
        </w:trPr>
        <w:tc>
          <w:tcPr>
            <w:tcW w:w="851" w:type="dxa"/>
            <w:vMerge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F45E7" w:rsidRPr="004F45E7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F45E7" w:rsidRPr="007B7892" w:rsidRDefault="004F45E7" w:rsidP="00CB05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708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2018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2019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2021</w:t>
            </w:r>
          </w:p>
        </w:tc>
      </w:tr>
      <w:tr w:rsidR="007E489A" w:rsidRPr="007B7892" w:rsidTr="00CF6FEE">
        <w:tc>
          <w:tcPr>
            <w:tcW w:w="15877" w:type="dxa"/>
            <w:gridSpan w:val="12"/>
          </w:tcPr>
          <w:p w:rsidR="007E489A" w:rsidRPr="007B7892" w:rsidRDefault="007E489A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7B7892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1.1.</w:t>
            </w:r>
          </w:p>
        </w:tc>
        <w:tc>
          <w:tcPr>
            <w:tcW w:w="4253" w:type="dxa"/>
          </w:tcPr>
          <w:p w:rsidR="004F45E7" w:rsidRPr="007B7892" w:rsidRDefault="004F45E7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нормативных правовых актов и внесение изменений в нормативные правовые акты  муниципального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антикоррупционных норм</w:t>
            </w:r>
          </w:p>
        </w:tc>
        <w:tc>
          <w:tcPr>
            <w:tcW w:w="1984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 Исполком</w:t>
            </w: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коррупции, устранение правовых пробелов и противоречий в данной сфере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7B7892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</w:t>
            </w:r>
          </w:p>
        </w:tc>
        <w:tc>
          <w:tcPr>
            <w:tcW w:w="4253" w:type="dxa"/>
          </w:tcPr>
          <w:p w:rsidR="004F45E7" w:rsidRPr="007B7892" w:rsidRDefault="004F45E7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должностных лиц, ответственных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№ 1065 и Президента Республики Татарстан от 01.11.2010 № УП- 711, соблюдение принципа стабильности кадров, осуще</w:t>
            </w:r>
            <w:r w:rsidR="007E489A" w:rsidRPr="007B7892">
              <w:rPr>
                <w:sz w:val="26"/>
                <w:szCs w:val="26"/>
              </w:rPr>
              <w:t>ствляющих вышеуказанные функции</w:t>
            </w:r>
          </w:p>
        </w:tc>
        <w:tc>
          <w:tcPr>
            <w:tcW w:w="1984" w:type="dxa"/>
          </w:tcPr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4F45E7" w:rsidRPr="007B7892" w:rsidRDefault="004F45E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4F45E7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1.2.1</w:t>
            </w:r>
          </w:p>
        </w:tc>
        <w:tc>
          <w:tcPr>
            <w:tcW w:w="4253" w:type="dxa"/>
          </w:tcPr>
          <w:p w:rsidR="007E489A" w:rsidRPr="007B7892" w:rsidRDefault="004F45E7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руководителями муниципальных учреждений,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детей. Информирование органов Прокуратуры РТ о нарушен</w:t>
            </w:r>
            <w:r w:rsidR="007E489A" w:rsidRPr="007B7892">
              <w:rPr>
                <w:sz w:val="26"/>
                <w:szCs w:val="26"/>
              </w:rPr>
              <w:t>иях, выявленных в ходе проверок</w:t>
            </w:r>
          </w:p>
        </w:tc>
        <w:tc>
          <w:tcPr>
            <w:tcW w:w="1984" w:type="dxa"/>
          </w:tcPr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CF6FEE">
            <w:pPr>
              <w:jc w:val="center"/>
              <w:rPr>
                <w:sz w:val="26"/>
                <w:szCs w:val="26"/>
              </w:rPr>
            </w:pP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1.2.2</w:t>
            </w:r>
          </w:p>
        </w:tc>
        <w:tc>
          <w:tcPr>
            <w:tcW w:w="4253" w:type="dxa"/>
          </w:tcPr>
          <w:p w:rsidR="007E489A" w:rsidRPr="007B7892" w:rsidRDefault="00906A55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достоверности и полноты сведений, представленных лицами, замещающими муниципальные должности Лениногорского муниципального района, руководителями муниципальных учреждений и лицами, замещающими должности муниципальной службы Лениногорского муниципального района, о своих расходах, а также о расходах своих супруги (супруга) и несовершеннолетних детей. Информирование органов Прокуратуры РТ о нарушен</w:t>
            </w:r>
            <w:r w:rsidR="007E489A" w:rsidRPr="007B7892">
              <w:rPr>
                <w:sz w:val="26"/>
                <w:szCs w:val="26"/>
              </w:rPr>
              <w:t>иях, выявленных в ходе проверок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своих расходах, а также о расходах своих супруги (супруга) и несовершеннолетних детей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соблюдения муниципальными служащими требований к служебному поведению, ограничений и запретов предусмотренных законодательством о муниципальной службе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1.2.4</w:t>
            </w:r>
          </w:p>
        </w:tc>
        <w:tc>
          <w:tcPr>
            <w:tcW w:w="4253" w:type="dxa"/>
          </w:tcPr>
          <w:p w:rsidR="007E489A" w:rsidRPr="007B7892" w:rsidRDefault="00906A55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41004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достижение прозрачности ситуации </w:t>
            </w:r>
            <w:proofErr w:type="gramStart"/>
            <w:r w:rsidRPr="007B7892">
              <w:rPr>
                <w:sz w:val="26"/>
                <w:szCs w:val="26"/>
              </w:rPr>
              <w:t>при возникновении конфликта интересов муниципальных служащих при обращениях к ним в целях склонения к совершению</w:t>
            </w:r>
            <w:proofErr w:type="gramEnd"/>
            <w:r w:rsidRPr="007B7892">
              <w:rPr>
                <w:sz w:val="26"/>
                <w:szCs w:val="26"/>
              </w:rPr>
              <w:t xml:space="preserve">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проведения оценки коррупционных рисков, возникающих при реализации муниципальными служащими своих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в соответствии с законодательством на сайтах органов местного самоуправления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открытости и доступности в деятельности органов местного самоуправления, создание условий для общественного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доходами и имуществом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Внедрение в деятельность должностных лиц кадровых служб ответственных за работу по профилактике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</w:t>
            </w:r>
            <w:proofErr w:type="gramEnd"/>
            <w:r w:rsidRPr="007B7892">
              <w:rPr>
                <w:sz w:val="26"/>
                <w:szCs w:val="26"/>
              </w:rPr>
              <w:t xml:space="preserve"> о доходах, 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</w:t>
            </w:r>
            <w:proofErr w:type="gramStart"/>
            <w:r w:rsidRPr="007B7892">
              <w:rPr>
                <w:sz w:val="26"/>
                <w:szCs w:val="26"/>
              </w:rPr>
              <w:t>о-</w:t>
            </w:r>
            <w:proofErr w:type="gramEnd"/>
            <w:r w:rsidRPr="007B7892">
              <w:rPr>
                <w:sz w:val="26"/>
                <w:szCs w:val="26"/>
              </w:rPr>
              <w:t xml:space="preserve"> 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деятельности комиссии при Главе Лениногорского муниципального района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усовершенствование работы комиссии по противодействию коррупции, путем привлечения представителей общественности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tabs>
                <w:tab w:val="left" w:pos="1410"/>
              </w:tabs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Обеспечить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применением предусмотренных законодательством мер юридической ответственности в каждом случае не соблюдения запретов,  ограничений и требований, установленных в целях противодействия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:rsidR="007B7892" w:rsidRPr="007B7892" w:rsidRDefault="00906A55" w:rsidP="00841004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Каждый случай не 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Лениногорском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 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организационно</w:t>
            </w:r>
            <w:r w:rsidRPr="007B7892">
              <w:rPr>
                <w:color w:val="000000"/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Принять меры по повышению эффективности деятельности комиссии по координации работы по противодействию коррупции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Лениногорском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984" w:type="dxa"/>
          </w:tcPr>
          <w:p w:rsidR="007B7892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руководитель Исполнитель</w:t>
            </w:r>
          </w:p>
          <w:p w:rsidR="00841004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B7892">
              <w:rPr>
                <w:color w:val="000000"/>
                <w:sz w:val="26"/>
                <w:szCs w:val="26"/>
              </w:rPr>
              <w:t>ный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комитет </w:t>
            </w:r>
          </w:p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МО «ЛМР»</w:t>
            </w:r>
          </w:p>
          <w:p w:rsidR="007E489A" w:rsidRPr="007B7892" w:rsidRDefault="007E489A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Усовершенствование работы комиссии по противодействию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 Совершенствование организации проведения антикоррупционной экспертизы нормативных правовых актов и проектов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 Проведение антикоррупционного мониторинга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мониторинга деятельности органов местного самоуправления по реализации антикоррупционных мер на территории Лениногорского муниципального района и оценке их эффективности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оценка эффективности антикоррупционной деятельности органов местного самоуправления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изучение фактического состояния и структуры коррупции, выработка мер по усилению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984" w:type="dxa"/>
          </w:tcPr>
          <w:p w:rsid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Комиссия по </w:t>
            </w:r>
            <w:proofErr w:type="spellStart"/>
            <w:r w:rsidRPr="007B7892">
              <w:rPr>
                <w:sz w:val="26"/>
                <w:szCs w:val="26"/>
              </w:rPr>
              <w:t>противодейст</w:t>
            </w:r>
            <w:proofErr w:type="spellEnd"/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вию</w:t>
            </w:r>
            <w:proofErr w:type="spellEnd"/>
            <w:r w:rsidRPr="007B7892">
              <w:rPr>
                <w:sz w:val="26"/>
                <w:szCs w:val="26"/>
              </w:rPr>
              <w:t xml:space="preserve">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активное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материалов средств массовой информации на тему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отслеживание изменений количества и качества размещаемых антикоррупционных материалов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качества предоставления муниципальных услуг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 Активизация антикоррупционного обучения и антикоррупционной пропаганды,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4.2</w:t>
            </w:r>
          </w:p>
        </w:tc>
        <w:tc>
          <w:tcPr>
            <w:tcW w:w="4253" w:type="dxa"/>
          </w:tcPr>
          <w:p w:rsidR="007B7892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Должностные лица кадровых служб помощник главы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Филиал ОАО Татмедиа,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4.4</w:t>
            </w:r>
          </w:p>
        </w:tc>
        <w:tc>
          <w:tcPr>
            <w:tcW w:w="4253" w:type="dxa"/>
          </w:tcPr>
          <w:p w:rsidR="007B7892" w:rsidRPr="007B7892" w:rsidRDefault="00906A55" w:rsidP="00841004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Размещение в средствах массовой информации и </w:t>
            </w:r>
            <w:proofErr w:type="spellStart"/>
            <w:r w:rsidRPr="007B7892">
              <w:rPr>
                <w:sz w:val="26"/>
                <w:szCs w:val="26"/>
              </w:rPr>
              <w:t>информационно</w:t>
            </w:r>
            <w:r w:rsidRPr="007B7892">
              <w:rPr>
                <w:sz w:val="26"/>
                <w:szCs w:val="26"/>
              </w:rPr>
              <w:softHyphen/>
              <w:t>коммуникационной</w:t>
            </w:r>
            <w:proofErr w:type="spellEnd"/>
            <w:r w:rsidRPr="007B7892">
              <w:rPr>
                <w:sz w:val="26"/>
                <w:szCs w:val="26"/>
              </w:rPr>
              <w:t xml:space="preserve"> сети «Интернет» информации о выявленных фактах коррупции в органах местного самоуправления, а также о выявленных случаях конфликта интересов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молодежных социальных акций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УДМСиТ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B7892" w:rsidRPr="007B7892" w:rsidRDefault="00906A55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привлечение внимания населения и молодежи к проблемам коррупции и ее последствий, вовлечение населения в процесс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ежегодного конкурса рисунка  и сочинений по вопросам противодействия коррупции в образовательных учреждениях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Управление образования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поиск, обнаружение и внедрение инновационных антикоррупционных технологий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и изготовление рекламной продукции антикоррупционной направленности (буклеты, календари, плакаты)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насыщение </w:t>
            </w:r>
            <w:proofErr w:type="gramStart"/>
            <w:r w:rsidRPr="007B7892">
              <w:rPr>
                <w:sz w:val="26"/>
                <w:szCs w:val="26"/>
              </w:rPr>
              <w:t>информационного</w:t>
            </w:r>
            <w:proofErr w:type="gramEnd"/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пространства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пропагандистскими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материалами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направленности и формирование антикоррупционного общественного мнения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35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45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4.8.</w:t>
            </w:r>
          </w:p>
        </w:tc>
        <w:tc>
          <w:tcPr>
            <w:tcW w:w="4253" w:type="dxa"/>
          </w:tcPr>
          <w:p w:rsidR="007B7892" w:rsidRPr="007B7892" w:rsidRDefault="00906A55" w:rsidP="00841004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Разработать с участием общественных объединений и других институтов гражданского общества комплекс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4.9.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Продолжить работу по формированию муниципальных служащих отрицательного отношения к коррупции</w:t>
            </w:r>
          </w:p>
        </w:tc>
        <w:tc>
          <w:tcPr>
            <w:tcW w:w="1984" w:type="dxa"/>
          </w:tcPr>
          <w:p w:rsidR="00906A55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сектор кадров и наград аппарата Совета МО «ЛМР»</w:t>
            </w: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P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     предоставления государственных   и  муниципальных  услуг,  в    том числе  на  базе  многофункциональных   центров предоставления государственных и муниципальных услуг</w:t>
            </w:r>
          </w:p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5.2</w:t>
            </w:r>
          </w:p>
        </w:tc>
        <w:tc>
          <w:tcPr>
            <w:tcW w:w="4253" w:type="dxa"/>
          </w:tcPr>
          <w:p w:rsidR="007B7892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Организация наполнения раздела «Противодействие коррупции» официальных сайтов органов исполнительной власти, муниципальных районов и городских округов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  <w:proofErr w:type="gramEnd"/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 помощник главы,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органов исполнительной власти,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функционирования в органах местного самоуправления «телефонов доверия», </w:t>
            </w:r>
            <w:proofErr w:type="gramStart"/>
            <w:r w:rsidRPr="007B7892">
              <w:rPr>
                <w:sz w:val="26"/>
                <w:szCs w:val="26"/>
              </w:rPr>
              <w:t>интернет-приемных</w:t>
            </w:r>
            <w:proofErr w:type="gramEnd"/>
            <w:r w:rsidRPr="007B7892">
              <w:rPr>
                <w:sz w:val="26"/>
                <w:szCs w:val="26"/>
              </w:rPr>
              <w:t>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гражданами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Публикация в средствах массовой информации и размещение на интернет- сайтах ежегодных отчетов органов местного самоуправления о состоянии коррупции и реализации мер антикоррупционной политики в районе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 по вопросам противодействия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гласности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5.5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7B7892" w:rsidRDefault="007B7892" w:rsidP="009C3B87">
            <w:pPr>
              <w:jc w:val="center"/>
              <w:rPr>
                <w:sz w:val="26"/>
                <w:szCs w:val="26"/>
              </w:rPr>
            </w:pPr>
          </w:p>
          <w:p w:rsidR="007B7892" w:rsidRPr="007B7892" w:rsidRDefault="007B7892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B7892" w:rsidRDefault="007B7892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Исполком,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7B7892" w:rsidRDefault="007B7892" w:rsidP="009C3B87">
            <w:pPr>
              <w:jc w:val="center"/>
              <w:rPr>
                <w:sz w:val="26"/>
                <w:szCs w:val="26"/>
              </w:rPr>
            </w:pPr>
          </w:p>
          <w:p w:rsidR="007B7892" w:rsidRPr="007B7892" w:rsidRDefault="007B7892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условий прозрачности механизмов и процедур проведения государственных и муниципальных закупок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Опубликование планов-графиков размещения заказов заказчиками, уполномоченными органами наряду со специальными сайтами, на официальных интернет-сайтах органов местного самоуправления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прозрачности деятельности по размещению государственных и муниципальных заказов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условий прозрачности механизмов и процедур проведения государственных и муниципальных закупок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 Совершенствование системы учета муниципального имущества, оценка эффективности использования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мер, по повышению эффективности использования общественных (публичных) слушаний, предусмотренных земельным и градостроительным законодательствами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архитектуры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законодательства об обороте земельных участков, уменьшение коррупционных предпосылок при предоставлении земельных участков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7.2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Совершенствование и усиление </w:t>
            </w:r>
            <w:proofErr w:type="gramStart"/>
            <w:r w:rsidRPr="007B7892">
              <w:rPr>
                <w:sz w:val="26"/>
                <w:szCs w:val="26"/>
              </w:rPr>
              <w:t>контроля  за</w:t>
            </w:r>
            <w:proofErr w:type="gramEnd"/>
            <w:r w:rsidRPr="007B7892">
              <w:rPr>
                <w:sz w:val="26"/>
                <w:szCs w:val="26"/>
              </w:rPr>
              <w:t xml:space="preserve"> эффективностью использования и распоряжения муниципального имущества, в </w:t>
            </w:r>
            <w:proofErr w:type="spellStart"/>
            <w:r w:rsidRPr="007B7892">
              <w:rPr>
                <w:sz w:val="26"/>
                <w:szCs w:val="26"/>
              </w:rPr>
              <w:t>т.ч</w:t>
            </w:r>
            <w:proofErr w:type="spellEnd"/>
            <w:r w:rsidRPr="007B7892">
              <w:rPr>
                <w:sz w:val="26"/>
                <w:szCs w:val="26"/>
              </w:rPr>
              <w:t>. переданного в аренду, хозяйственное ведение и оперативное управление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7.3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инвентаризации муниципального имущества на предмет выявления неиспользуемого имущества, бесхозного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Для сокращения коррупционных проявлений и предупреждения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водоохранных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зон. Принять меры для ограничений и пресечения выявленных нарушений и устранения их последствий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Председатель КУ «Палата имущественных и земельных отношений» муниципального образования «Лениногорский муниципальный район»</w:t>
            </w:r>
            <w:r w:rsidRPr="007B7892">
              <w:rPr>
                <w:color w:val="000000"/>
                <w:sz w:val="26"/>
                <w:szCs w:val="26"/>
              </w:rPr>
              <w:t>, руководитель Исполнительного комитета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правонарушений. Обеспечение процедуры прозрачности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F6FEE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 Усиление  мер  по  минимизации  бытовой  коррупции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при поступлении граждан на должность муниципальной службы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7B7892">
              <w:rPr>
                <w:sz w:val="26"/>
                <w:szCs w:val="26"/>
              </w:rPr>
              <w:t>соблюдения очередности поступления детей дошкольного возраста</w:t>
            </w:r>
            <w:proofErr w:type="gramEnd"/>
            <w:r w:rsidRPr="007B7892">
              <w:rPr>
                <w:sz w:val="26"/>
                <w:szCs w:val="26"/>
              </w:rPr>
              <w:t xml:space="preserve"> в детские сады в соответствии с электронной очередью. Исключение возможности необоснованного перемещения по очереди.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</w:t>
            </w:r>
            <w:proofErr w:type="gramStart"/>
            <w:r w:rsidRPr="007B7892">
              <w:rPr>
                <w:sz w:val="26"/>
                <w:szCs w:val="26"/>
              </w:rPr>
              <w:t>,,</w:t>
            </w:r>
            <w:proofErr w:type="gramEnd"/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в предоставлении населению муниципальных услуг в области образования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ОАО ЦИР ЖКХ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    действенного  функционирования  комиссий  по противодействию  коррупции в отделах Военного комиссариата Республики Татарстан в муниципальных районах,  в   том числе путем вовлечения   в их деятельность представителей общественности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ОВК,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отдела Военного комиссариата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CF6FEE">
        <w:tc>
          <w:tcPr>
            <w:tcW w:w="15877" w:type="dxa"/>
            <w:gridSpan w:val="12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 Исполнение Национального плана противодействия коррупции на 2018 – 2021 годы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ежеквартально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pStyle w:val="a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9.2.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90%).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9.3.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7B7892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9.4.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7B789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(не менее 50%)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9.5.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9.6.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 г.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jc w:val="center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</w:t>
            </w:r>
            <w:proofErr w:type="gramEnd"/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9.7.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  <w:proofErr w:type="gramEnd"/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9.8.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проверок/количество выявленных </w:t>
            </w:r>
            <w:proofErr w:type="gramStart"/>
            <w:r w:rsidRPr="007B7892">
              <w:rPr>
                <w:sz w:val="26"/>
                <w:szCs w:val="26"/>
              </w:rPr>
              <w:t>правонарушений</w:t>
            </w:r>
            <w:proofErr w:type="gramEnd"/>
            <w:r w:rsidRPr="007B7892">
              <w:rPr>
                <w:sz w:val="26"/>
                <w:szCs w:val="26"/>
              </w:rPr>
              <w:t>/в том числе связанных с конфликтом интересов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9.9.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9.10.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ежеквартально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ежегодно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9.11.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Главы   Лениногорского МР   по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вопросам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противодействия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коррупции,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Общественный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 Лениногорского МР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spacing w:line="235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2018-2021гг.; ежегодно</w:t>
            </w:r>
          </w:p>
        </w:tc>
        <w:tc>
          <w:tcPr>
            <w:tcW w:w="2551" w:type="dxa"/>
          </w:tcPr>
          <w:p w:rsidR="009C3B87" w:rsidRPr="007B7892" w:rsidRDefault="009C3B87" w:rsidP="00CF6FEE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9.12.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ежегодно, до 1 февраля</w:t>
            </w:r>
          </w:p>
        </w:tc>
        <w:tc>
          <w:tcPr>
            <w:tcW w:w="2551" w:type="dxa"/>
          </w:tcPr>
          <w:p w:rsidR="009C3B87" w:rsidRPr="007B7892" w:rsidRDefault="009C3B87" w:rsidP="00CF6FEE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CF6FEE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</w:tbl>
    <w:p w:rsidR="00CB0576" w:rsidRPr="00F30A2B" w:rsidRDefault="00CB0576" w:rsidP="00CB0576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:rsidR="00CB0576" w:rsidRPr="00F409BF" w:rsidRDefault="00CB0576" w:rsidP="00CB0576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>Список использованных сокращений:</w:t>
      </w:r>
    </w:p>
    <w:p w:rsidR="00CB0576" w:rsidRPr="009C3B87" w:rsidRDefault="00CB0576" w:rsidP="009C3B87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  <w:rPr>
          <w:sz w:val="28"/>
          <w:szCs w:val="28"/>
        </w:rPr>
      </w:pPr>
      <w:r w:rsidRPr="009C3B87">
        <w:rPr>
          <w:sz w:val="28"/>
          <w:szCs w:val="28"/>
        </w:rPr>
        <w:t xml:space="preserve">Совет – </w:t>
      </w:r>
      <w:r w:rsidRPr="009C3B87">
        <w:rPr>
          <w:rStyle w:val="1"/>
          <w:sz w:val="28"/>
          <w:szCs w:val="28"/>
        </w:rPr>
        <w:t>Совет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Исполком - </w:t>
      </w:r>
      <w:r w:rsidRPr="009C3B87">
        <w:rPr>
          <w:rStyle w:val="1"/>
          <w:sz w:val="28"/>
          <w:szCs w:val="28"/>
        </w:rPr>
        <w:t>Исполнительный комитет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ОМС - Органы местного самоуправления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proofErr w:type="spellStart"/>
      <w:r w:rsidRPr="009C3B87">
        <w:rPr>
          <w:rStyle w:val="1"/>
          <w:sz w:val="28"/>
          <w:szCs w:val="28"/>
        </w:rPr>
        <w:t>ПИиЗО</w:t>
      </w:r>
      <w:proofErr w:type="spellEnd"/>
      <w:r w:rsidRPr="009C3B87">
        <w:rPr>
          <w:rStyle w:val="1"/>
          <w:sz w:val="28"/>
          <w:szCs w:val="28"/>
        </w:rPr>
        <w:t xml:space="preserve"> - Палата имущественных и земельных отношений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ФБП - Финансово-бюджетная палата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 xml:space="preserve">ОВК - </w:t>
      </w:r>
      <w:r w:rsidRPr="009C3B87">
        <w:rPr>
          <w:sz w:val="28"/>
          <w:szCs w:val="28"/>
        </w:rPr>
        <w:t xml:space="preserve">отдел Военного комиссариата Республики Татарстан </w:t>
      </w:r>
      <w:proofErr w:type="gramStart"/>
      <w:r w:rsidRPr="009C3B87">
        <w:rPr>
          <w:sz w:val="28"/>
          <w:szCs w:val="28"/>
        </w:rPr>
        <w:t>в</w:t>
      </w:r>
      <w:proofErr w:type="gramEnd"/>
      <w:r w:rsidRPr="009C3B87">
        <w:rPr>
          <w:sz w:val="28"/>
          <w:szCs w:val="28"/>
        </w:rPr>
        <w:t xml:space="preserve"> </w:t>
      </w:r>
      <w:proofErr w:type="gramStart"/>
      <w:r w:rsidRPr="009C3B87">
        <w:rPr>
          <w:sz w:val="28"/>
          <w:szCs w:val="28"/>
        </w:rPr>
        <w:t>Лениногорском</w:t>
      </w:r>
      <w:proofErr w:type="gramEnd"/>
      <w:r w:rsidRPr="009C3B87">
        <w:rPr>
          <w:sz w:val="28"/>
          <w:szCs w:val="28"/>
        </w:rPr>
        <w:t xml:space="preserve"> муниципальном районе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Юр. отдел – юридический отдел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СМИ – отдел по работе со СМИ и общественными формированиями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экономики – отдел экономики </w:t>
      </w:r>
      <w:r w:rsidRPr="009C3B87">
        <w:rPr>
          <w:rStyle w:val="1"/>
          <w:sz w:val="28"/>
          <w:szCs w:val="28"/>
        </w:rPr>
        <w:t>Исполнительного комитета Лениногорского муниципального района Республики Татарстан;</w:t>
      </w:r>
    </w:p>
    <w:p w:rsidR="00CB0576" w:rsidRPr="009C3B87" w:rsidRDefault="00CB0576" w:rsidP="009C3B87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УДМСиТ – МКУ «Управление по делам молодежи, спорту и туризма» </w:t>
      </w:r>
      <w:r w:rsidRPr="009C3B87">
        <w:rPr>
          <w:rStyle w:val="1"/>
          <w:sz w:val="28"/>
          <w:szCs w:val="28"/>
        </w:rPr>
        <w:t>Лениногорского муниципального района Республики Татарстан</w:t>
      </w:r>
      <w:r w:rsidR="007B7892">
        <w:rPr>
          <w:rStyle w:val="1"/>
          <w:sz w:val="28"/>
          <w:szCs w:val="28"/>
        </w:rPr>
        <w:t>.</w:t>
      </w:r>
    </w:p>
    <w:p w:rsidR="00741C9C" w:rsidRDefault="00237B77" w:rsidP="000A06CE">
      <w:pPr>
        <w:tabs>
          <w:tab w:val="left" w:pos="284"/>
          <w:tab w:val="left" w:pos="851"/>
          <w:tab w:val="left" w:pos="993"/>
        </w:tabs>
        <w:ind w:right="-1"/>
        <w:jc w:val="center"/>
      </w:pPr>
      <w:r>
        <w:t>____________________________________________________________</w:t>
      </w:r>
    </w:p>
    <w:sectPr w:rsidR="00741C9C" w:rsidSect="001C27A8">
      <w:head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C9" w:rsidRDefault="00DB6CC9" w:rsidP="001C27A8">
      <w:r>
        <w:separator/>
      </w:r>
    </w:p>
  </w:endnote>
  <w:endnote w:type="continuationSeparator" w:id="0">
    <w:p w:rsidR="00DB6CC9" w:rsidRDefault="00DB6CC9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C9" w:rsidRDefault="00DB6CC9" w:rsidP="001C27A8">
      <w:r>
        <w:separator/>
      </w:r>
    </w:p>
  </w:footnote>
  <w:footnote w:type="continuationSeparator" w:id="0">
    <w:p w:rsidR="00DB6CC9" w:rsidRDefault="00DB6CC9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336660"/>
      <w:docPartObj>
        <w:docPartGallery w:val="Page Numbers (Top of Page)"/>
        <w:docPartUnique/>
      </w:docPartObj>
    </w:sdtPr>
    <w:sdtEndPr/>
    <w:sdtContent>
      <w:p w:rsidR="00CF6FEE" w:rsidRDefault="00CF6F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684">
          <w:rPr>
            <w:noProof/>
          </w:rPr>
          <w:t>28</w:t>
        </w:r>
        <w:r>
          <w:fldChar w:fldCharType="end"/>
        </w:r>
      </w:p>
    </w:sdtContent>
  </w:sdt>
  <w:p w:rsidR="00CF6FEE" w:rsidRDefault="00CF6F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EE" w:rsidRDefault="00CF6F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1"/>
    <w:rsid w:val="0000267F"/>
    <w:rsid w:val="0000602F"/>
    <w:rsid w:val="000263A1"/>
    <w:rsid w:val="00034B62"/>
    <w:rsid w:val="0005745D"/>
    <w:rsid w:val="00063442"/>
    <w:rsid w:val="00072CEA"/>
    <w:rsid w:val="00075C16"/>
    <w:rsid w:val="000A06CE"/>
    <w:rsid w:val="000A20AC"/>
    <w:rsid w:val="000B3D32"/>
    <w:rsid w:val="000D1978"/>
    <w:rsid w:val="000D341A"/>
    <w:rsid w:val="000E00A2"/>
    <w:rsid w:val="001008D2"/>
    <w:rsid w:val="00110DD8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30B1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20348B"/>
    <w:rsid w:val="0020591C"/>
    <w:rsid w:val="00214DCD"/>
    <w:rsid w:val="00237B77"/>
    <w:rsid w:val="00245E29"/>
    <w:rsid w:val="00251325"/>
    <w:rsid w:val="0025664F"/>
    <w:rsid w:val="00257B5A"/>
    <w:rsid w:val="002B5850"/>
    <w:rsid w:val="002C6803"/>
    <w:rsid w:val="002F32AE"/>
    <w:rsid w:val="003026E3"/>
    <w:rsid w:val="003107E2"/>
    <w:rsid w:val="00313D97"/>
    <w:rsid w:val="003201D7"/>
    <w:rsid w:val="00322F1E"/>
    <w:rsid w:val="00330B27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4E9B"/>
    <w:rsid w:val="003A6805"/>
    <w:rsid w:val="003A7F69"/>
    <w:rsid w:val="003B4E27"/>
    <w:rsid w:val="003B51C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77C6E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4F45E7"/>
    <w:rsid w:val="00507EA7"/>
    <w:rsid w:val="00526340"/>
    <w:rsid w:val="00540640"/>
    <w:rsid w:val="005431EF"/>
    <w:rsid w:val="00551AE1"/>
    <w:rsid w:val="00551CFC"/>
    <w:rsid w:val="005629E4"/>
    <w:rsid w:val="005677FA"/>
    <w:rsid w:val="005713ED"/>
    <w:rsid w:val="00590389"/>
    <w:rsid w:val="005A6EFE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468AF"/>
    <w:rsid w:val="0065248B"/>
    <w:rsid w:val="00670684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3DFD"/>
    <w:rsid w:val="006F71B6"/>
    <w:rsid w:val="007023CF"/>
    <w:rsid w:val="00711159"/>
    <w:rsid w:val="007153A3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B7892"/>
    <w:rsid w:val="007C0FDD"/>
    <w:rsid w:val="007E489A"/>
    <w:rsid w:val="007E734D"/>
    <w:rsid w:val="008016F4"/>
    <w:rsid w:val="00811352"/>
    <w:rsid w:val="008142BE"/>
    <w:rsid w:val="0081482C"/>
    <w:rsid w:val="008246DA"/>
    <w:rsid w:val="008261A2"/>
    <w:rsid w:val="00841004"/>
    <w:rsid w:val="0085142B"/>
    <w:rsid w:val="00852F4D"/>
    <w:rsid w:val="00854231"/>
    <w:rsid w:val="00855371"/>
    <w:rsid w:val="00855A35"/>
    <w:rsid w:val="0086035D"/>
    <w:rsid w:val="00864E12"/>
    <w:rsid w:val="008671EC"/>
    <w:rsid w:val="008741B7"/>
    <w:rsid w:val="00887632"/>
    <w:rsid w:val="00890F15"/>
    <w:rsid w:val="008A0C04"/>
    <w:rsid w:val="008A398A"/>
    <w:rsid w:val="008C27EC"/>
    <w:rsid w:val="008C4C79"/>
    <w:rsid w:val="008D1CB1"/>
    <w:rsid w:val="008E0E93"/>
    <w:rsid w:val="008F4B96"/>
    <w:rsid w:val="008F57C5"/>
    <w:rsid w:val="009020CB"/>
    <w:rsid w:val="00906A5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3B87"/>
    <w:rsid w:val="009D0090"/>
    <w:rsid w:val="009D3173"/>
    <w:rsid w:val="009F222F"/>
    <w:rsid w:val="009F5855"/>
    <w:rsid w:val="00A01AB3"/>
    <w:rsid w:val="00A01AF8"/>
    <w:rsid w:val="00A021A7"/>
    <w:rsid w:val="00A06DF8"/>
    <w:rsid w:val="00A16E7D"/>
    <w:rsid w:val="00A258A3"/>
    <w:rsid w:val="00A259BB"/>
    <w:rsid w:val="00A4490B"/>
    <w:rsid w:val="00A51FC1"/>
    <w:rsid w:val="00A53862"/>
    <w:rsid w:val="00A626A0"/>
    <w:rsid w:val="00A83C79"/>
    <w:rsid w:val="00A92A14"/>
    <w:rsid w:val="00A93376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05E78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5114"/>
    <w:rsid w:val="00B66C74"/>
    <w:rsid w:val="00B67805"/>
    <w:rsid w:val="00B728A3"/>
    <w:rsid w:val="00B77389"/>
    <w:rsid w:val="00B903A9"/>
    <w:rsid w:val="00B953AA"/>
    <w:rsid w:val="00B9755D"/>
    <w:rsid w:val="00B979DD"/>
    <w:rsid w:val="00BA4DFF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7EC"/>
    <w:rsid w:val="00C748CB"/>
    <w:rsid w:val="00C8330B"/>
    <w:rsid w:val="00CA2343"/>
    <w:rsid w:val="00CB0576"/>
    <w:rsid w:val="00CB4AE3"/>
    <w:rsid w:val="00CC11DC"/>
    <w:rsid w:val="00CC5A45"/>
    <w:rsid w:val="00CD15D6"/>
    <w:rsid w:val="00CE74D5"/>
    <w:rsid w:val="00CF3BFE"/>
    <w:rsid w:val="00CF5DFF"/>
    <w:rsid w:val="00CF6FEE"/>
    <w:rsid w:val="00D05B50"/>
    <w:rsid w:val="00D07C2F"/>
    <w:rsid w:val="00D12408"/>
    <w:rsid w:val="00D17A47"/>
    <w:rsid w:val="00D20232"/>
    <w:rsid w:val="00D2116B"/>
    <w:rsid w:val="00D31AA1"/>
    <w:rsid w:val="00D50DA6"/>
    <w:rsid w:val="00D517F8"/>
    <w:rsid w:val="00D61E01"/>
    <w:rsid w:val="00D75200"/>
    <w:rsid w:val="00D81C7D"/>
    <w:rsid w:val="00D87DBD"/>
    <w:rsid w:val="00DB0BC6"/>
    <w:rsid w:val="00DB6CC9"/>
    <w:rsid w:val="00DD51BF"/>
    <w:rsid w:val="00DE669C"/>
    <w:rsid w:val="00DF0D0D"/>
    <w:rsid w:val="00DF7F65"/>
    <w:rsid w:val="00E07814"/>
    <w:rsid w:val="00E13F03"/>
    <w:rsid w:val="00E16113"/>
    <w:rsid w:val="00E301FA"/>
    <w:rsid w:val="00E30F2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0A2B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8A5E-0934-45CA-8707-7512AD8B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5162</Words>
  <Characters>29426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2019-09-30T05:32:00Z</cp:lastPrinted>
  <dcterms:created xsi:type="dcterms:W3CDTF">2019-10-02T10:55:00Z</dcterms:created>
  <dcterms:modified xsi:type="dcterms:W3CDTF">2019-10-02T10:55:00Z</dcterms:modified>
</cp:coreProperties>
</file>