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96" w:rsidRDefault="00592396" w:rsidP="00592396">
      <w:pPr>
        <w:pStyle w:val="ConsPlusNonformat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правоприменительной практики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гос.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(надзора)</w:t>
      </w:r>
      <w:bookmarkStart w:id="0" w:name="_GoBack"/>
      <w:bookmarkEnd w:id="0"/>
    </w:p>
    <w:p w:rsidR="00592396" w:rsidRDefault="00592396" w:rsidP="00592396">
      <w:pPr>
        <w:pStyle w:val="ConsPlusNonformat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92396" w:rsidRDefault="00592396" w:rsidP="00592396">
      <w:pPr>
        <w:pStyle w:val="ConsPlusNonformat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92396" w:rsidRDefault="00592396" w:rsidP="00592396">
      <w:pPr>
        <w:pStyle w:val="ConsPlusNonformat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протоколов, составленных должностными лицами органов местного самоуправления об административных правонарушениях, предусмотренных статьями Кодекса Республики Татарстан об административных правонарушениях:</w:t>
      </w:r>
    </w:p>
    <w:p w:rsidR="00592396" w:rsidRDefault="00592396" w:rsidP="00592396">
      <w:pPr>
        <w:pStyle w:val="ConsPlusNonformat"/>
        <w:spacing w:line="264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статье 2.4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статье 2.5</w:t>
      </w:r>
      <w:r>
        <w:rPr>
          <w:rFonts w:ascii="Times New Roman" w:hAnsi="Times New Roman" w:cs="Times New Roman"/>
          <w:sz w:val="24"/>
          <w:szCs w:val="24"/>
        </w:rPr>
        <w:t xml:space="preserve"> – (в части изготовления наград или нагрудных знаков, аналогичных или имеющих сходство с государственными наградами Республики Татарстан) - 0;</w:t>
      </w:r>
    </w:p>
    <w:p w:rsidR="00592396" w:rsidRDefault="00592396" w:rsidP="00592396">
      <w:pPr>
        <w:pStyle w:val="ConsPlusNonformat"/>
        <w:spacing w:line="264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статье 2.6</w:t>
      </w:r>
      <w:r>
        <w:rPr>
          <w:rFonts w:ascii="Times New Roman" w:hAnsi="Times New Roman" w:cs="Times New Roman"/>
          <w:sz w:val="24"/>
          <w:szCs w:val="24"/>
        </w:rPr>
        <w:t xml:space="preserve"> –0;</w:t>
      </w:r>
    </w:p>
    <w:p w:rsidR="00592396" w:rsidRDefault="00592396" w:rsidP="00592396">
      <w:pPr>
        <w:pStyle w:val="ConsPlusNonformat"/>
        <w:spacing w:line="264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статье 2.7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статье 2.8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статье 2.12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статье 2.13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статье 2.14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статье 3.2</w:t>
      </w:r>
      <w:r>
        <w:rPr>
          <w:rFonts w:ascii="Times New Roman" w:hAnsi="Times New Roman" w:cs="Times New Roman"/>
          <w:sz w:val="24"/>
          <w:szCs w:val="24"/>
        </w:rPr>
        <w:t xml:space="preserve"> (в части торговли в не установленных для этих целей местах, за исключением случаев, предусмотренных частью 3 статьи 3.2 Кодекса Республики Татарстан об административных правонарушениях) – 3;</w:t>
      </w:r>
    </w:p>
    <w:p w:rsidR="00592396" w:rsidRDefault="00592396" w:rsidP="00592396">
      <w:pPr>
        <w:pStyle w:val="ConsPlusNonformat"/>
        <w:spacing w:line="264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статье 3.3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по статье 3.4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по статье 3.5</w:t>
      </w:r>
      <w:r>
        <w:rPr>
          <w:rFonts w:ascii="Times New Roman" w:hAnsi="Times New Roman" w:cs="Times New Roman"/>
          <w:sz w:val="24"/>
          <w:szCs w:val="24"/>
        </w:rPr>
        <w:t xml:space="preserve"> – 3, из них в отношении граждан 1, должностных лиц 2, юридических лиц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по статье 3.6</w:t>
      </w:r>
      <w:r>
        <w:rPr>
          <w:rFonts w:ascii="Times New Roman" w:hAnsi="Times New Roman" w:cs="Times New Roman"/>
          <w:sz w:val="24"/>
          <w:szCs w:val="24"/>
        </w:rPr>
        <w:t xml:space="preserve"> – 80, из них в отношении граждан 68, должностных лиц 12, юридических лиц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статье 3.7 </w:t>
      </w:r>
      <w:r>
        <w:rPr>
          <w:rFonts w:ascii="Times New Roman" w:hAnsi="Times New Roman" w:cs="Times New Roman"/>
          <w:sz w:val="24"/>
          <w:szCs w:val="24"/>
        </w:rPr>
        <w:t>– 0, из них в отношении граждан 0, должностных лиц 0, юридических лиц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по статье 3.8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по статье 3.10</w:t>
      </w:r>
      <w:r>
        <w:rPr>
          <w:rFonts w:ascii="Times New Roman" w:hAnsi="Times New Roman" w:cs="Times New Roman"/>
          <w:sz w:val="24"/>
          <w:szCs w:val="24"/>
        </w:rPr>
        <w:t xml:space="preserve"> – (в части нарушения правил охраны жизни людей на водных объектах на территории Республики Татарстан) –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статье 3.10</w:t>
      </w:r>
      <w:r>
        <w:rPr>
          <w:rFonts w:ascii="Times New Roman" w:hAnsi="Times New Roman" w:cs="Times New Roman"/>
          <w:sz w:val="24"/>
          <w:szCs w:val="24"/>
        </w:rPr>
        <w:t xml:space="preserve"> – (в части выхода и (или) выезда на лед водных объектов при толщине льда менее 7 сантиметров) –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по статье 3.11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по статье 3.14</w:t>
      </w:r>
      <w:r>
        <w:rPr>
          <w:rFonts w:ascii="Times New Roman" w:hAnsi="Times New Roman" w:cs="Times New Roman"/>
          <w:sz w:val="24"/>
          <w:szCs w:val="24"/>
        </w:rPr>
        <w:t xml:space="preserve"> – (в части самовольного выхода зрителей на спортивную площадку, поле игры, беговую дорожку, манеж, сцену (в том числе ледовую сцену) во время проведения культурно – зрелищных мероприятий) –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по статье 3.14</w:t>
      </w:r>
      <w:r>
        <w:rPr>
          <w:rFonts w:ascii="Times New Roman" w:hAnsi="Times New Roman" w:cs="Times New Roman"/>
          <w:sz w:val="24"/>
          <w:szCs w:val="24"/>
        </w:rPr>
        <w:t xml:space="preserve"> – (в части выброса на трибуну, спортивную площадку, поле игры, беговую дорожку, манеж, сцену (в том числе ледовую сцену), акваторию водного объекта посторонних предметов, препятствующих проведению культурно-зрелищных мероприятий) –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по статье 3.15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по статье 3.16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autoSpaceDE w:val="0"/>
        <w:autoSpaceDN w:val="0"/>
        <w:adjustRightInd w:val="0"/>
        <w:spacing w:line="264" w:lineRule="auto"/>
        <w:ind w:left="-360"/>
        <w:jc w:val="both"/>
      </w:pPr>
      <w:r>
        <w:rPr>
          <w:b/>
        </w:rPr>
        <w:t xml:space="preserve">        по статье 4.4</w:t>
      </w:r>
      <w:r>
        <w:t xml:space="preserve"> (в части распоряжения объектом нежилого фонда, находящимся в муниципальной собственности, без разрешения органа местного самоуправления) –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по статье 4.4</w:t>
      </w:r>
      <w:r>
        <w:rPr>
          <w:rFonts w:ascii="Times New Roman" w:hAnsi="Times New Roman" w:cs="Times New Roman"/>
          <w:sz w:val="24"/>
          <w:szCs w:val="24"/>
        </w:rPr>
        <w:t xml:space="preserve"> (в части использования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фонда) –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статье 5.1 </w:t>
      </w:r>
      <w:r>
        <w:rPr>
          <w:rFonts w:ascii="Times New Roman" w:hAnsi="Times New Roman" w:cs="Times New Roman"/>
          <w:sz w:val="24"/>
          <w:szCs w:val="24"/>
        </w:rPr>
        <w:t>–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по статье 5.2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по статье 5.6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части 1 статьи 19.4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части 1 статьи 19.4.1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части 1 статьи 19.5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592396" w:rsidRDefault="00592396" w:rsidP="0059239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статье 19.7</w:t>
      </w:r>
      <w:r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592396" w:rsidRDefault="00592396" w:rsidP="00592396">
      <w:pPr>
        <w:autoSpaceDE w:val="0"/>
        <w:autoSpaceDN w:val="0"/>
        <w:adjustRightInd w:val="0"/>
        <w:spacing w:line="264" w:lineRule="auto"/>
        <w:ind w:firstLine="720"/>
        <w:jc w:val="both"/>
      </w:pPr>
    </w:p>
    <w:p w:rsidR="00592396" w:rsidRDefault="00592396" w:rsidP="00592396">
      <w:pPr>
        <w:widowControl w:val="0"/>
        <w:autoSpaceDE w:val="0"/>
        <w:autoSpaceDN w:val="0"/>
        <w:adjustRightInd w:val="0"/>
        <w:spacing w:line="264" w:lineRule="auto"/>
      </w:pPr>
    </w:p>
    <w:p w:rsidR="00AB1C3F" w:rsidRDefault="00AB1C3F"/>
    <w:sectPr w:rsidR="00AB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1E"/>
    <w:rsid w:val="00000C15"/>
    <w:rsid w:val="000041DD"/>
    <w:rsid w:val="00005E01"/>
    <w:rsid w:val="00013413"/>
    <w:rsid w:val="000254AB"/>
    <w:rsid w:val="00025D4A"/>
    <w:rsid w:val="00081390"/>
    <w:rsid w:val="000820D6"/>
    <w:rsid w:val="0009276A"/>
    <w:rsid w:val="000B5204"/>
    <w:rsid w:val="000F124E"/>
    <w:rsid w:val="000F7806"/>
    <w:rsid w:val="00112FFB"/>
    <w:rsid w:val="0011790E"/>
    <w:rsid w:val="00142B83"/>
    <w:rsid w:val="001634E4"/>
    <w:rsid w:val="00174C2A"/>
    <w:rsid w:val="00190F84"/>
    <w:rsid w:val="001D1FF4"/>
    <w:rsid w:val="001D26A1"/>
    <w:rsid w:val="001F508D"/>
    <w:rsid w:val="001F5598"/>
    <w:rsid w:val="00207521"/>
    <w:rsid w:val="002114FB"/>
    <w:rsid w:val="0022195D"/>
    <w:rsid w:val="00226CBA"/>
    <w:rsid w:val="00231160"/>
    <w:rsid w:val="00265007"/>
    <w:rsid w:val="0028580E"/>
    <w:rsid w:val="002A16DE"/>
    <w:rsid w:val="002A6D1A"/>
    <w:rsid w:val="002B65B7"/>
    <w:rsid w:val="00362122"/>
    <w:rsid w:val="00365E34"/>
    <w:rsid w:val="00371AB1"/>
    <w:rsid w:val="00373342"/>
    <w:rsid w:val="003B0A12"/>
    <w:rsid w:val="003B58D1"/>
    <w:rsid w:val="003E19F4"/>
    <w:rsid w:val="003E45BA"/>
    <w:rsid w:val="00411878"/>
    <w:rsid w:val="00411A0E"/>
    <w:rsid w:val="00413395"/>
    <w:rsid w:val="00421D29"/>
    <w:rsid w:val="004253FD"/>
    <w:rsid w:val="00434C21"/>
    <w:rsid w:val="004642E8"/>
    <w:rsid w:val="00486AEA"/>
    <w:rsid w:val="004946E0"/>
    <w:rsid w:val="004946F7"/>
    <w:rsid w:val="004A0919"/>
    <w:rsid w:val="004A7693"/>
    <w:rsid w:val="004B54D1"/>
    <w:rsid w:val="004C51E4"/>
    <w:rsid w:val="004E0FAC"/>
    <w:rsid w:val="0050460B"/>
    <w:rsid w:val="00524B7E"/>
    <w:rsid w:val="0052625B"/>
    <w:rsid w:val="00535FD8"/>
    <w:rsid w:val="0058348C"/>
    <w:rsid w:val="00592396"/>
    <w:rsid w:val="005B62E6"/>
    <w:rsid w:val="005C6A09"/>
    <w:rsid w:val="005E4DCB"/>
    <w:rsid w:val="005F1D97"/>
    <w:rsid w:val="00602368"/>
    <w:rsid w:val="00633F96"/>
    <w:rsid w:val="006369C0"/>
    <w:rsid w:val="00653112"/>
    <w:rsid w:val="0067516D"/>
    <w:rsid w:val="00680187"/>
    <w:rsid w:val="006940CB"/>
    <w:rsid w:val="00694E43"/>
    <w:rsid w:val="006B0CEF"/>
    <w:rsid w:val="006C496E"/>
    <w:rsid w:val="006C603C"/>
    <w:rsid w:val="006D6738"/>
    <w:rsid w:val="006E0FE7"/>
    <w:rsid w:val="006E1CF8"/>
    <w:rsid w:val="006F0613"/>
    <w:rsid w:val="007123E9"/>
    <w:rsid w:val="0073241E"/>
    <w:rsid w:val="00751749"/>
    <w:rsid w:val="007533C0"/>
    <w:rsid w:val="007949AA"/>
    <w:rsid w:val="007B7E21"/>
    <w:rsid w:val="007C3231"/>
    <w:rsid w:val="007F0D82"/>
    <w:rsid w:val="008450D9"/>
    <w:rsid w:val="008552BF"/>
    <w:rsid w:val="008734B4"/>
    <w:rsid w:val="00873B31"/>
    <w:rsid w:val="00881EA2"/>
    <w:rsid w:val="0089019A"/>
    <w:rsid w:val="008B16F6"/>
    <w:rsid w:val="008B4F8E"/>
    <w:rsid w:val="008B5F12"/>
    <w:rsid w:val="008D11D8"/>
    <w:rsid w:val="008D55BE"/>
    <w:rsid w:val="00911C0D"/>
    <w:rsid w:val="00933810"/>
    <w:rsid w:val="009838AE"/>
    <w:rsid w:val="0099148C"/>
    <w:rsid w:val="009C3456"/>
    <w:rsid w:val="009D1915"/>
    <w:rsid w:val="009E31F4"/>
    <w:rsid w:val="009F5D89"/>
    <w:rsid w:val="00A50417"/>
    <w:rsid w:val="00A62E55"/>
    <w:rsid w:val="00A636BA"/>
    <w:rsid w:val="00AA7C44"/>
    <w:rsid w:val="00AB1C3F"/>
    <w:rsid w:val="00AB1FE7"/>
    <w:rsid w:val="00AC0086"/>
    <w:rsid w:val="00AE439B"/>
    <w:rsid w:val="00AE53AF"/>
    <w:rsid w:val="00B43266"/>
    <w:rsid w:val="00B7230F"/>
    <w:rsid w:val="00BA127F"/>
    <w:rsid w:val="00BD3E8D"/>
    <w:rsid w:val="00BD4B4C"/>
    <w:rsid w:val="00C33B0C"/>
    <w:rsid w:val="00C35FE9"/>
    <w:rsid w:val="00C70022"/>
    <w:rsid w:val="00C71C89"/>
    <w:rsid w:val="00C91931"/>
    <w:rsid w:val="00CB0F0A"/>
    <w:rsid w:val="00CB3C5C"/>
    <w:rsid w:val="00CC1E23"/>
    <w:rsid w:val="00CC6A6E"/>
    <w:rsid w:val="00CD1307"/>
    <w:rsid w:val="00CD1A7A"/>
    <w:rsid w:val="00CE0FD4"/>
    <w:rsid w:val="00D401AE"/>
    <w:rsid w:val="00D4222E"/>
    <w:rsid w:val="00D44C69"/>
    <w:rsid w:val="00D83B48"/>
    <w:rsid w:val="00DA6895"/>
    <w:rsid w:val="00DA7AFA"/>
    <w:rsid w:val="00DC1AC3"/>
    <w:rsid w:val="00DE0234"/>
    <w:rsid w:val="00DF6E76"/>
    <w:rsid w:val="00E1082D"/>
    <w:rsid w:val="00E225B3"/>
    <w:rsid w:val="00E3001B"/>
    <w:rsid w:val="00E40736"/>
    <w:rsid w:val="00E43BEF"/>
    <w:rsid w:val="00E57ACF"/>
    <w:rsid w:val="00E74393"/>
    <w:rsid w:val="00E82754"/>
    <w:rsid w:val="00E852FF"/>
    <w:rsid w:val="00EC779F"/>
    <w:rsid w:val="00ED5E73"/>
    <w:rsid w:val="00EF6CB0"/>
    <w:rsid w:val="00EF7CAD"/>
    <w:rsid w:val="00F165B7"/>
    <w:rsid w:val="00F50A39"/>
    <w:rsid w:val="00F75F3C"/>
    <w:rsid w:val="00F769EF"/>
    <w:rsid w:val="00F94BAE"/>
    <w:rsid w:val="00FA56B3"/>
    <w:rsid w:val="00FA5CFF"/>
    <w:rsid w:val="00FB6D0D"/>
    <w:rsid w:val="00FC4328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</dc:creator>
  <cp:keywords/>
  <dc:description/>
  <cp:lastModifiedBy>АТИ</cp:lastModifiedBy>
  <cp:revision>2</cp:revision>
  <dcterms:created xsi:type="dcterms:W3CDTF">2017-07-21T06:58:00Z</dcterms:created>
  <dcterms:modified xsi:type="dcterms:W3CDTF">2017-07-21T07:00:00Z</dcterms:modified>
</cp:coreProperties>
</file>