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2D" w:rsidRPr="00E30C41" w:rsidRDefault="00A73D2D" w:rsidP="00E30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Хөрмәтле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30C4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өстәм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Нургалиевич!</w:t>
      </w:r>
    </w:p>
    <w:p w:rsidR="00A73D2D" w:rsidRPr="00E30C41" w:rsidRDefault="00A73D2D" w:rsidP="00E30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Хөрмәтле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депутатлар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утырышта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катнашучылар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30C4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үген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үткән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елгы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эшләргә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нәтиҗә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ясарга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киләсе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елга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бурычлар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билгеләргә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җыелдык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Үткән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ел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район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уңышлы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булды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һәм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яңа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елны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да без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гына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башлап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җибәрдек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башкарылган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эшлә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белән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таныштырып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китәсем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килә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.</w:t>
      </w:r>
    </w:p>
    <w:p w:rsidR="00A73D2D" w:rsidRPr="00E30C41" w:rsidRDefault="00A73D2D" w:rsidP="00E30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Уважаемый Рустам Нургалиевич!</w:t>
      </w:r>
    </w:p>
    <w:p w:rsidR="00A73D2D" w:rsidRPr="00E30C41" w:rsidRDefault="00A73D2D" w:rsidP="00E30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Уважаемые депутаты! Дорогие ветераны, приглашенные!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Сегодня мы подводим итоги работы за прошедший год, обозначаем наши достижения, анализируем проблемы и определяем задачи на перспективу.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Основными ориентирами для нас являются ключевые задачи, определенные в Послании Президента Республики Татарстан Госсовету и Стратегии социально-экономического развития Республики 2030 с учетом проекта закона об изменении основных положений стратегии.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Приоритетом муниципальной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политики является повышение качества жизни жителей нашего района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Ежегодные собрания граждан в микрорайонах города и отчеты глав поселений позволяют выявить потребности населения.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отчетной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период поступило более 2-х тысяч обращений граждан, на личный прием обратилось 216 человек. Депутатами разного уровня было принято свыше 1,5 тыс. жителей нашего района.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основном обращения касаются вопросов землепользования, строительства  и ремонта дорог,  вопросов жилищно-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>коммунального хозяйства и социального характера (Свыше 60% вопросов решено положительно).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На начало текущего года в районе проживает около 83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еловек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(город-62,5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тыс.чел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., район – 20,2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тыс.чел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). Число родившихся детей в восемнадцатом году составило 821 чел. (умерло 1216 чел.).  К сожалению, у нас сохраняется отрицательная демографическая тенденция. Естественная убыль составляет 0,5%. Кроме показателей смертности и миграционных процессов немаловажной причиной является снижение темпа воспроизводства населения,  вследствие оттока молодого поколения репродуктивного возраста (в целях поиска высокооплачиваемой работы, приобретения жилья, получения образования и др.).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Вместе с тем нужно отметить, за последние годы продолжительность жизни населения в районе увеличилась на 3,5 года.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Основным ресурсом развития района является его экономический потенциал. Валовый территориальный продукт составил свыше 80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,  с темпом роста 109%. Индекс промышленного производства - 103%.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Крупными и средними промышленными предприятиями отгружено товаров собственного производства, выполнено работ и оказано услуг свыше 22-х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Ведущее место в экономике принадлежит нефтяной промышленности      и      добыче      полезных      ископаемых,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которое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остается основным сектором для создания материальных благ, товарной и денежной массы. Около 50% 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объема отгруженной продукции обеспечили предприятия в сфере добычи и обрабатывающего производства. 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(По сравнению  с 2017  объем отгрузки в обрабатывающей промышленности уменьшился в 2 раза.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Одной из важных причин является передача услуг по прибыльным видам деятельности (капитальный ремонт скважин) и реализация остаточного продукта перегонки нефти (печное топливо) предприятиям прилегающих районов (Альметьевск, Азнакаево).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Нужно отметить, что происходящие в нефтяной отрасли,  в том числе и в сервисных компаниях, реорганизация и оптимизация рабочих мест негативно отражается на настроениях жителей района, вызывает отток высококвалифицированной рабочей силы в другие регионы. Вместе с тем, малые нефтяные компании и промышленные предприятия района продолжают развиваться.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ЗАО «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Охтин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-Ойл» по показателям себестоимости находится в числе лучших среди малых нефтяных компаний республики. Благодаря инновационной технологии разработки залежей нефти в прошлом году дополнительно добыто около 4 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онн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нефти.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Рост промышленного производства отмечен на предприят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ии ООО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Лозна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Сервис, которое изготавливает нефтепромысловое оборудование и реализует на рынках России и стран СНГ. Заключены контракты с крупными предприятиями ПАО «НК «РОСНЕФТЬ» и ПАО «ЛУКОЙЛ».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Чтобы повысить уровень жизни населения, нам нужен новый виток в развитии экономики. И для этого у нас есть потенциал.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Резервом в наращивании объёма производства являются 8 свободных производственных площадок ООО Татнефть-Актив, общей площадью свыше 200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тыс.кв.м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. Мы заинтересованы, чтобы данные площадки функционировали и приносили доход. Уважаемый, Рустам Нургалиевич!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Объединение ресурсов и выработка единой совместной концепции Правительства республики, ПАО «Татнефть» и муниципалитета - позволило бы положительно решить вопрос открытия новых производств. (У нас есть трудовые ресурсы)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На протяжении последних лет удельный вес инвестиций в Валовом территориальном продукте составляет около 11%. Большая часть инвестиций приходится на сферу добычи полезных ископаемых, затем на строительство и сельское хозяйство.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Нам необходимо совместно с руководством «Татнефть» активизировать работу по привлечению резидентов в действующий индустриальный парк «Идея–Юго-Восток» и  совместно с Министерством экономики усилить работу по продвижению инвестиционных возможностей для потенциальных инвесторов.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экономике района представлены различные масштабы бизнеса. На сегодняшний день в этом сегменте у нас работает 562 субъекта малого и среднего бизнеса и 1500 предпринимателей.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Сегодня – это более 18% доходов районного бюджета (165млн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ублей – НДФЛ, УСН, ЕНВД, ЕСХН, Патент, налог на имущество и землю), 12% объема производства (9,7 млрд руб.), свыше 4, 5 тыс. работающих (17%.).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>В рамках государственной поддержки и за счет средств местного бюджета предоставлена субсидия 30 предпринимателям на сумму около 21 млн. рублей.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По данным аналитического отчета Совета по предпринимательству при Президенте республики, значение индекса деловой активности в районе находится в отрицательной зоне. Снижение связано со значительным сокращением прибыли, недовольством существующим уровнем доступности банковских кредитов и ужесточением требований контрольно-надзорных органов. Тем не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предприниматели,  в целом, выражают готовность расширять бизнес и увеличивать штат сотрудников. Наша задача -  найти пути решения и оказать всевозможное содействие в сопровождение предпринимателя от этапа старта бизнеса до выхода на стабильное функционирование.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Для нас важно, чтобы инвестор, предприниматель остался на нашей территории.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этих целях работает Общественный Совет  предпринимателей, проводятся встречи с малым бизнесом,  создан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Инстаграмм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–канал, проводятся дни открытых дверей, для старшеклассников запланировано ведение внеклассных уроков и мастер классов успешными предпринимателями.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Продолжает развиваться потребительский рынок.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Оборот розничной торговли составил свыше 5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руб., или 105% к уровню прошлого года. На сельскохозяйственных ярмарках,  реализовано продукции свыше 14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Важным направлением экономики является сельское  хозяйство. Валовый продукт составил свыше 2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0C41">
        <w:rPr>
          <w:rFonts w:ascii="Times New Roman" w:hAnsi="Times New Roman" w:cs="Times New Roman"/>
          <w:sz w:val="32"/>
          <w:szCs w:val="32"/>
        </w:rPr>
        <w:t>Не смотря на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засуху, усилиями земледельцев удалось собрать более 71 тыс.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зерна (в амбарном весе), при средней урожайности свыше 22 ц/га (было в 2017г. - 26,5 ц/га). Под урожай 2019 года засеяны 15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озимых культур – это на 25% больше, чем в 2018 году,  и составит 46% от зернового клина.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Поголовье крупного рогатого скота составило более 13 тыс. голов КРС (100%), (в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4,1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коров (101%). Несмотря на низкие закупочные цены на молоко, удалось сохранить положительную динамику производства.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Валовой надой во всех категориях хозяйств составил около 19 тысяч тонн (106%). Объем производства мяса - почти 5 тысяч тонн (106%). Модернизация птицефабрики позволила увеличить производство яиц до 64 млн. штук (115%). В перспективе планируется увеличить до 80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Серьезная поддержка агропромышленному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комплексу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оказывается через государственные программы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За текущий год она составила более 150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Аның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рәхмәт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Рөстәм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Нургалиевич, Марат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Готович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Не ошибусь, если скажу, что выражу мнение всех Глав районов, Рустам Нургалиевич, что и в этом году через ПАО «Татнефть», будет оказана помощь в льготном топливе для проведения весенне-полевых работ,  а также возобновление востребованной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среди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сельхоз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товаропроизводителей района и Республики программы «30х30х30»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Вклад в развитие агропромышленного комплекса вносят фермерские и личные подсобные хозяйства.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30C41">
        <w:rPr>
          <w:rFonts w:ascii="Times New Roman" w:hAnsi="Times New Roman" w:cs="Times New Roman"/>
          <w:sz w:val="32"/>
          <w:szCs w:val="32"/>
        </w:rPr>
        <w:t>В районе действуют 28 КФХ,  21 семейная ферма, из них 6 технологичные.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Фермеры участвуют в программах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грантовой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поддержки.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 xml:space="preserve">Примером деловой активности являются династии Хабибуллиных (КФХ Хабибуллина А.Ф., который содержит 100 голов КРС на откорме),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Набиуллиных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Галимовых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(КФХ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Набиуллин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С.Ф. занимается разведением породистых лошадей, получивших в 2018 году официальный статус «Татарская порода».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В КФХ имеется 300 лошадей).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 xml:space="preserve">КФХ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Ипеев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В.П. (Деятельность убойного цеха, открытого фермером,  получила дальнейшее развитие: открыт магазин по реализации собственной продукции, приобретено оборудование для переработки, автотранспорт.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В планах открытие еще одного магазина и создание кооператива совместно другими фермерами)</w:t>
      </w:r>
      <w:proofErr w:type="gramEnd"/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районе почти 9 тысяч семей имеют личное подсобное хозяйство,  в которых насчитывается свыше 3 тыс. голов крупного рогатого скота (в том числе 1315 дойных коров, овец и коз более 5 тысяч голов, лошадей 206 голов, птицы около 30 тысяч).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Не смотря на нефтяную специфику района, деятельность ЛПХ малыми темпами, но растет. Этому способствуют субсидии из республиканского бюджета, а также муниципальная программа поддержки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сельхозформирований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всех уровней, в рамках которой за последние годы на развитие агропромышленного комплекса было направлено свыше 80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рублей, в том числе на поддержку 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ЛПХ (начальный этап строительства мини-ферм и приобретение доильных аппаратов).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этом направлении мы не дорабатываем, у нас есть резервы, и нам с главами поселений необходимо задуматься.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С прошлого года действует потребительский кооператив «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Шугуровское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РАЙПО», где создано 7 рабочих мест.  На сегодняшний день разрабатывается проект производства полуфабрикатов и хлебобулочных изделий. Под эти цели РАЙПО выделено пустующее здание.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Администрацией района совместно с правообладателями земельных участков проводится большая работа по вовлечению неиспользуемых земель в сельскохозяйственный оборот.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восемнадцатом году выявлено более двух тысяч гектаров таких земель, часть из которых уже введена в оборот. Вовлечение оставшейся части категории земли рассматривается в судебном порядке с участием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республики. Спасибо,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Нурислам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Нариманович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за взаимодействие и оперативную помощь.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Палате земельных и имущественных отношений необходимо усилить работу с владельцами земельных участков и объектов недвижимости по государственной регистрации и активизировать работу по взысканию задолженности по арендным платежам за пользование землей.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Качество развития любой территории определяет занятость и благосостояние наших граждан. Численность трудовых ресурсов 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>составила более 51 тысячи человек, из них свыше 42,2 тысяч заняты в экономике. Уровень безработицы - 0,41% (2017г.-0,48%).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Среднемесячная заработная плата по предприятиям района - более 35 тысяч рублей или 113% к аналогичному периоду 2017 года. Денежный доход на душу населения составил свыше 25 тысяч рублей. Численность получателей  пенсий более 26 тысяч человек (32%). Средний размер  страховой пенсии  - 14256 рублей. Меры социальной поддержки в виде различных выплат (пособий, субсидий) получили около 40 тыс. человек на сумму более 300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решении задач социально-экономического развития района важная роль принадлежит бюджету.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За отчетный период налоговые и неналоговые доходы поступили в консолидированный бюджет района  в сумме свыше 1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руб., что составляет 108% к годовому плану и 107% к факту  2017 года.  В общем объеме доходов бюджета 61% занимает НДФЛ и составляет более 610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руб., налог на землю - свыше 211 млн руб. или 106% к плану.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С января 2019 года в России стартовала новая система налогообложения «Налог на профессиональный доход».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 xml:space="preserve">Сегодня в районе среди населения ведется информационно-разъяснительная работа, и активные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уже начали регистрироваться (27 человек).</w:t>
      </w:r>
      <w:proofErr w:type="gramEnd"/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Перед нами стоит задача по снижению недоимки и выполнению плановых поступлений.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30C41">
        <w:rPr>
          <w:rFonts w:ascii="Times New Roman" w:hAnsi="Times New Roman" w:cs="Times New Roman"/>
          <w:sz w:val="32"/>
          <w:szCs w:val="32"/>
        </w:rPr>
        <w:lastRenderedPageBreak/>
        <w:t>Районның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үсеш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Стратегиясендә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халыкның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яшәү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сыйфаты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критерийлары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билгеләнгән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Әлеге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бурычларны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республика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программалары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үти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отчетном году план жилищного строительства выполнен на 100%. По программам жилищные условия  улучшили 18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лениногорских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семей. (В их числе 1семья воина-ветерана, 3 молодые и многодетные семьи, 6 детей сирот, 5 медицинских работников и 3 семьи по программе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соц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потеки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).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Капитально отремонтировано 17 многоквартирных домов,  в которых  проживает свыше 1000 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лениногорцев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Для сельчан построено здание исполкома в 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Тимяшево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отремонтирован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Куакбашский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сельский дом культуры.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Положительную оценку населения получила проводимая работа по развитию общественных пространств. В этом году мы стали победителями Всероссийского конкурса лучших проектов создания комфортной городской среды. Полученный грант пойдет на благоустройство и обновление парка культуры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орького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центре внимания муниципалитета - обеспечение безопасности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лениногорцев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Решить эту проблему помогает реализация мероприятий государственной программы «Безопасный город». Системой видеонаблюдения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оснащены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около 300 объектов жилого фонда. На всех объектах массового пребывания людей установлено 675 видеокамер. Это является эффективной поддержкой отдела МВД района по обеспечению общественного порядка и безопасности дорожного движения.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    Важный показатель комфортности проживания – состояние дорог и уровень транспортной обеспеченности. По программе ремонта дорожно-транспортной инфраструктуры города и района выполнены работы на сумму более 155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Лениногорцы благодарны Вам, Рустам Нургалиевич, министру транспорта и дорожного хозяйства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Ленару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Ринатовичу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ПАО Татнефть» за выделенные средства на преобразование дорожной сети района и города.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Но данный вопрос по-прежнему остается одним из острых. Надеемся, что и в этом году будет оказано содействие в ремонте дорожного покрытия дворовых территорий и сельских поселений.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Лениногорцы также благодарны правительству республики за выделение коммунальной спецтехники (9 единиц), которая обеспечивает своевременную уборку дорог и тротуаров города и района.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целях обеспечения транспортными перевозками, в прошедшем году для жителей  села организованы 3 дополнительных маршрута,  которые субсидируются из республиканского бюджета.  Население района благодарно нашему Президенту за содействие в решении данной проблемы.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В центре нашего внимания – тяжелая ситуация в организации городских пассажирских перевозок (Из-за нерентабельности перевозчики участвуют в тендере, не имеют возможности обновлять автобусный парк, из-за чего происходят срывы графиков движения.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Мы получаем справедливые нарекания граждан).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Решить данный вопрос на районном уровне сложно.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>Уважаемый Рустам Нургалиевич! В целях сохранения сети общественного транспорта просим Вас рассмотреть возможность применения положительного опыта субсидирования  сельских маршрутов в республике для эффективной организации городских перевозок.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Муниципалитет продолжает работу по улучшению экологической обстановки. Мы приветствует, что «Татнефть» реализует проект оздоровления акватории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тепной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Зай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основной целью которого является создание благоприятных условий для жителей Юго-Востока республики. Перед нашим районом стоит задача по возведению очистных сооружений, которые позволят снизить негативную нагрузку на  реки Степной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Зай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и Камышла.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текущем году за счет средств местного бюджета запланировано проектирование трех очистных сооружений. Строительство же этих объектов требует больших финансовых вложений, без государственной поддержки  реализация проекта невозможна.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Интересы всех граждан затрагивает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жилищно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- коммунальное хозяйство.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Объем представленных жилищно-коммунальных услуг составил около 800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рублей. Уровень собираемости платежей  - 98,7%. Задолженность населения в районе, по-прежнему, остается высокой. Всем структурам необходимо усилить работу по снижению задолженности за коммунальн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жилищные услуги.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От уровня развития экономики и бюджетных возможностей полностью зависит функционирование нашей социальной сферы.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Безусловно, приоритет для нас всех – это дети.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рамках республиканских программ,  спонсорской поддержки и средств местного бюджета капитально отремонтированы 3 детских сада, лицей, школы №7 и 8, музыкально-художественный педагогический колледж, общежитие нефтяного техникума.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Большую помощь в ремонте социальных объектов оказывают нефтяники.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Коллективы учебных заведений, родители, учащиеся благодарны «Татнефть», НГДУ «ЛН», «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Транснефть-Прикамье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» за создание комфортных условий. Надеемся, что это благородное дело будет продолжено и в дальнейшем, так как еще имеются холодные спортзалы, протекающие крыши в школах и садах, не вошедших  в республиканские программы.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Результатом проводимой системной работы в сфере образования  являются высокие показатели ЕГЭ выпускников наших школ.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рейтинге по качеству общего образования наш район занимает 6 место (2 место – ЕГЭ по русскому языку, 8 мест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математика,             7 место – предметы по выбору, 1 место- отсутствие выпускников не получивших аттестат).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Развитию интеллекта детей способствует уникальный проект для начального обучения школьников «Шахматы в школах», который второй год реализуются в нашем районе.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Важной темой для всех уровней системы образования района является работа по профориентации, начиная с детского сада и 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>школы. Хорошим подспорьем для этого является сеть учреждений профессионального образования: музыкально-художественный и политехнический колледжи, нефтяной техникум – которые являются  ресурсными центрами профессионального образования Республики Татарстан. Партнерами этих учебных заведений являются наши:  вуз – КНИТУ-КАИ, успешные предприятия и компании.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Студенты наших учебных заведений являются активными участниками чемпионата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Ворлдскилс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и демонстрируют свое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профмастерство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на международном уровне.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   Считаю, что 2019 год,  объявленный Указом президента республики, в Татарстане, Годом рабочих профессий будет положительно влиять на формирование нового имиджа системы профессионального образования и сделает популярными рабочие профессии.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Лениногорскида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сәләтле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яшьлә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күп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безнең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киләчәгебез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Районда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яшьләргә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игътибар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бирелә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  Приоритетные направления молодежной политики района реализуются в рамках 20 различных программ через систему учреждений для молодежи.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Молодежь района должна являться надежной опорой во всех наших делах и начинаниях, участвовать в социально-экономическом, политическом, культурном развитии района.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         Очень важная для каждого тема - здоровье.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Большое внимание медиками района отводится профилактическим мероприятиям и диспансеризации.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Из 13,5 тысяч осмотренных у 10% (1305 чел.) заболевания выявлены впервые. По результатам проведенной диспансеризации назначено лечение свыше  8000 пациентам. К сожалению, по ряду направлений имеются недостатки, которые требуют особого внимания наших медиков (в том числе по младенческой смертности, от болезней системы кровообращения, злокачественных новообразований, эффективность использования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узи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-аппаратов).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целях оказания специализированной медицинской помощи населению на базе 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Лениногорской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ЦРБ открыты отделения эндоскопии и амбулаторного гемодиализа.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прошлом году по государственным программам более 200 млн  рублей направлено на капитальный ремонт лечебных учреждений (поликлиники, противотуберкулезного диспансера, женской консультации, строительство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уктарово-Урдала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). Для полного завершения модернизации этих объектов, необходимо продолжить участие в программах.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Укомплектованность врачебным персоналом составляет 50,5% (в 2017г. 50,1%). ( В 2018г. принято на работу 8 врачей, из них 3 - молодые специалисты  врачи-интерны,  и 49 чел. средних медработников).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районе ведется целенаправленная работа по привлечению врачей. В планах – реконструкция освободившихся помещений под квартиры медикам и учителям. Решение этого вопроса возможно с участием ПАО «Татнефть» при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этого проекта.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Руководству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Лениногорской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ЦРБ необходимо улучшить  качество обслуживания населения.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Продолжается системная работа в области развития физкультуры и спорта. Спортсмены нашего района вписали немало страниц в историю спортивного движения. Растет и численность постоянно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занимающихся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спортом, которое составляет свыше 42%.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2018 году в рамках реализации Президентских программ  построены две спортивные площадки, лыжная база в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угурово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 К сожалению, некоторые имеющиеся спортивные сооружения морально и технически устарели,  в том числе ледовый дворец и трамплин.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Лениногорский район – это территория талантов и творчества. Учреждениями культуры проведено около 6000 культурно досуговых мероприятий, с участием более 40 тыс. человек. 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В районе функционируют национально-культурные центры, Дом дружбы народов, которые ведут целенаправленную работу по возрождению и развитию исторических традиций, народного творчества, праздников, традиционных промыслов и ремесел, декоративно - прикладного искусства. Результаты участия в конкурсах различного уровня свидетельствуют о высоком творческом потенциале и профессиональном мастерстве талантов нашего района.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Завершая свое выступление в год театра, объявленного в России, хочу напомнить слова английского драматурга Уильяма Шекспира «Весь мир театр и люди в нем актеры». И от того как 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>каждый из нас будет исполнять свою роль, решать возложенные задачи будет зависеть выполнение наших планов.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Уважаемые депутаты, земляки!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Мы достойно провели выборы Президента Российской Федерации, впереди - выборы депутатов в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Государственный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Совет Республики Татарстан. Уверен, что выбор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лениногорцев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будет направлен на поддержку дальнейшего позитивного и динамичного развития нашей республики. Надеемся, что действующие депутаты Госсовета от нашего округа продолжат работу на благо жителей Лениногорского района.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Уважаемый Рустам Нургалиевич!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В 2020 году исполняется 100 лет образованию Татарской АССР, 75 лет Великой Победе, победители которой являются покорителями нефтяного девона Татарстана,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первостроителями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города Лениногорска. Являясь  колыбелью татарской нефти, Лениногорск вписал свою страницу истории развития нашей республики. Включение празднования 75-летия градообразующего предприятия НГДУ ЛН и 65-летие города Лениногорска в план мероприятий, посвященных 100- летнему юбилею Татарстана стало бы значимым событием для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лениногорцев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и дало бы новый виток его развитию.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Уважаемые депутаты, приглашенные!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Сделано немало, мы знаем о своих недостатках и проблемах, но главное мы хотим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меняться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 и работаем над этим, у нас есть основа для успешного выполнения задач, поставленных Президентом Республики Татарстан в Послании Государственному </w:t>
      </w:r>
      <w:r w:rsidRPr="00E30C41">
        <w:rPr>
          <w:rFonts w:ascii="Times New Roman" w:hAnsi="Times New Roman" w:cs="Times New Roman"/>
          <w:sz w:val="32"/>
          <w:szCs w:val="32"/>
        </w:rPr>
        <w:lastRenderedPageBreak/>
        <w:t xml:space="preserve">Совету. </w:t>
      </w:r>
      <w:proofErr w:type="gramStart"/>
      <w:r w:rsidRPr="00E30C41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 xml:space="preserve">, все проблемы преодолеть нам по силам. Работая единой командой, следуя президентским курсом, мы сможем изменить и улучшить качество жизни людей.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Хочу выразить благодарность от лица жителей Лениногорского района Вам, Рустам Нургалиевич, Госсовету, Правительству Республики, Совету муниципальных образований –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Экзаму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Саматовичу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ПАО «Татнефть», лично Наилю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Ульфатовичу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Помощнику президента республики по вопросам нефтяной промышленности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Шафагату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Фахразовичу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за совместную плодотворную работу и за всестороннюю поддержку.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 xml:space="preserve">Также выражаю искреннюю благодарность нашим депутатам Государственного Совета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Шафигуллину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Ринату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Ильдусовичу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Касымову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Ильдусу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Азгатовичу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Уважаемые депутаты и руководители учреждений и предприятий, общественных организаций, жители города и района!</w:t>
      </w:r>
    </w:p>
    <w:p w:rsidR="00A73D2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0C41">
        <w:rPr>
          <w:rFonts w:ascii="Times New Roman" w:hAnsi="Times New Roman" w:cs="Times New Roman"/>
          <w:sz w:val="32"/>
          <w:szCs w:val="32"/>
        </w:rPr>
        <w:t>Хочу поблагодарить каждого из вас за совместную работу, поддержку и взаимопониман</w:t>
      </w:r>
      <w:bookmarkStart w:id="0" w:name="_GoBack"/>
      <w:bookmarkEnd w:id="0"/>
      <w:r w:rsidRPr="00E30C41">
        <w:rPr>
          <w:rFonts w:ascii="Times New Roman" w:hAnsi="Times New Roman" w:cs="Times New Roman"/>
          <w:sz w:val="32"/>
          <w:szCs w:val="32"/>
        </w:rPr>
        <w:t xml:space="preserve">ие во всех наших делах и начинаниях. Отдельное спасибо нашим ветеранам! Мы всегда учитываем ваше мнение в реализации наших планов. </w:t>
      </w:r>
    </w:p>
    <w:p w:rsidR="00A73D2D" w:rsidRPr="00E30C41" w:rsidRDefault="00A73D2D" w:rsidP="00E30C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Хөрмәтле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дуслар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!</w:t>
      </w:r>
    </w:p>
    <w:p w:rsidR="003E0C0D" w:rsidRPr="00E30C41" w:rsidRDefault="00A73D2D" w:rsidP="00E30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Чыгышым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ахырында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сезгә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хезмәтегез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30C4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әхмәтемне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белдерәм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Уңышлар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телим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Игътибарыгыз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0C41">
        <w:rPr>
          <w:rFonts w:ascii="Times New Roman" w:hAnsi="Times New Roman" w:cs="Times New Roman"/>
          <w:sz w:val="32"/>
          <w:szCs w:val="32"/>
        </w:rPr>
        <w:t>өчен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30C4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30C41">
        <w:rPr>
          <w:rFonts w:ascii="Times New Roman" w:hAnsi="Times New Roman" w:cs="Times New Roman"/>
          <w:sz w:val="32"/>
          <w:szCs w:val="32"/>
        </w:rPr>
        <w:t>әхмәт</w:t>
      </w:r>
      <w:proofErr w:type="spellEnd"/>
      <w:r w:rsidRPr="00E30C41">
        <w:rPr>
          <w:rFonts w:ascii="Times New Roman" w:hAnsi="Times New Roman" w:cs="Times New Roman"/>
          <w:sz w:val="32"/>
          <w:szCs w:val="32"/>
        </w:rPr>
        <w:t>! Спасибо за внимание!</w:t>
      </w:r>
    </w:p>
    <w:sectPr w:rsidR="003E0C0D" w:rsidRPr="00E3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D"/>
    <w:rsid w:val="003E0C0D"/>
    <w:rsid w:val="00A73D2D"/>
    <w:rsid w:val="00E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СМИ</dc:creator>
  <cp:lastModifiedBy>Отдел СМИ</cp:lastModifiedBy>
  <cp:revision>1</cp:revision>
  <dcterms:created xsi:type="dcterms:W3CDTF">2019-02-11T06:32:00Z</dcterms:created>
  <dcterms:modified xsi:type="dcterms:W3CDTF">2019-02-11T06:49:00Z</dcterms:modified>
</cp:coreProperties>
</file>